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92A61" w14:textId="77777777" w:rsidR="00F07734" w:rsidRDefault="00F07734" w:rsidP="00F07734">
      <w:pPr>
        <w:jc w:val="center"/>
        <w:rPr>
          <w:rFonts w:ascii="Times New Roman" w:hAnsi="Times New Roman"/>
          <w:sz w:val="24"/>
          <w:szCs w:val="22"/>
        </w:rPr>
      </w:pPr>
      <w:bookmarkStart w:id="0" w:name="_Toc360188322"/>
      <w:bookmarkStart w:id="1" w:name="_Toc473560870"/>
      <w:bookmarkStart w:id="2" w:name="_Toc151714358"/>
      <w:r>
        <w:rPr>
          <w:rFonts w:ascii="Times New Roman" w:hAnsi="Times New Roman"/>
          <w:sz w:val="24"/>
        </w:rPr>
        <w:t>FI</w:t>
      </w:r>
    </w:p>
    <w:p w14:paraId="0D6BFDE2" w14:textId="77777777" w:rsidR="00320FF3" w:rsidRPr="00037E7B" w:rsidRDefault="00320FF3" w:rsidP="00F07734">
      <w:pPr>
        <w:rPr>
          <w:rFonts w:ascii="Times New Roman" w:hAnsi="Times New Roman"/>
          <w:sz w:val="24"/>
        </w:rPr>
      </w:pPr>
    </w:p>
    <w:p w14:paraId="02F7763D" w14:textId="77777777" w:rsidR="00320FF3" w:rsidRPr="00037E7B" w:rsidRDefault="00320FF3" w:rsidP="00320FF3">
      <w:pPr>
        <w:jc w:val="center"/>
        <w:rPr>
          <w:rFonts w:ascii="Times New Roman" w:hAnsi="Times New Roman"/>
          <w:sz w:val="24"/>
        </w:rPr>
      </w:pPr>
      <w:r>
        <w:rPr>
          <w:rFonts w:ascii="Times New Roman" w:hAnsi="Times New Roman"/>
          <w:sz w:val="24"/>
        </w:rPr>
        <w:t>LIITE II</w:t>
      </w:r>
    </w:p>
    <w:p w14:paraId="6A7FAFF0" w14:textId="77777777" w:rsidR="00320FF3" w:rsidRPr="00037E7B" w:rsidRDefault="00320FF3" w:rsidP="00320FF3">
      <w:pPr>
        <w:jc w:val="center"/>
        <w:rPr>
          <w:rFonts w:ascii="Times New Roman" w:hAnsi="Times New Roman"/>
          <w:sz w:val="24"/>
        </w:rPr>
      </w:pPr>
      <w:r>
        <w:rPr>
          <w:rFonts w:ascii="Times New Roman" w:hAnsi="Times New Roman"/>
          <w:sz w:val="24"/>
        </w:rPr>
        <w:t>”LIITE II</w:t>
      </w:r>
    </w:p>
    <w:p w14:paraId="3F8D89B8" w14:textId="77777777" w:rsidR="00320FF3" w:rsidRPr="00037E7B" w:rsidRDefault="00320FF3" w:rsidP="00320FF3">
      <w:pPr>
        <w:jc w:val="center"/>
        <w:rPr>
          <w:rFonts w:ascii="Times New Roman" w:hAnsi="Times New Roman"/>
          <w:b/>
          <w:sz w:val="24"/>
        </w:rPr>
      </w:pPr>
      <w:r>
        <w:rPr>
          <w:rFonts w:ascii="Times New Roman" w:hAnsi="Times New Roman"/>
          <w:b/>
          <w:sz w:val="24"/>
        </w:rPr>
        <w:t>OMIEN VAROJEN JA OMIEN VAROJEN VAATIMUSTEN RAPORTOINTIA KOSKEVAT OHJEET</w:t>
      </w:r>
    </w:p>
    <w:p w14:paraId="33E9282B" w14:textId="77777777" w:rsidR="00320FF3" w:rsidRPr="00037E7B" w:rsidRDefault="00320FF3" w:rsidP="00320FF3">
      <w:pPr>
        <w:jc w:val="center"/>
        <w:rPr>
          <w:rFonts w:ascii="Times New Roman" w:hAnsi="Times New Roman"/>
          <w:b/>
          <w:sz w:val="24"/>
          <w:lang w:eastAsia="de-DE"/>
        </w:rPr>
      </w:pPr>
    </w:p>
    <w:p w14:paraId="3D25D1E5" w14:textId="77777777" w:rsidR="009D5CC6" w:rsidRDefault="009D5CC6" w:rsidP="00984406"/>
    <w:p w14:paraId="07D5DC86" w14:textId="5AA3133C" w:rsidR="00CC7D2C" w:rsidRPr="002A677E" w:rsidRDefault="00CC7D2C" w:rsidP="00767D3D">
      <w:pPr>
        <w:pStyle w:val="Heading2"/>
      </w:pPr>
      <w:r>
        <w:t>OSA II: LOMAKKEISIIN LIITTYVÄT OHJEET</w:t>
      </w:r>
      <w:bookmarkEnd w:id="0"/>
      <w:bookmarkEnd w:id="1"/>
      <w:bookmarkEnd w:id="2"/>
    </w:p>
    <w:p w14:paraId="3279C58A" w14:textId="77777777" w:rsidR="00CC7D2C" w:rsidRPr="002A677E" w:rsidRDefault="00CC7D2C" w:rsidP="005F25FD">
      <w:pPr>
        <w:pStyle w:val="Instructionsberschrift2"/>
        <w:numPr>
          <w:ilvl w:val="0"/>
          <w:numId w:val="0"/>
        </w:numPr>
        <w:ind w:left="357" w:hanging="357"/>
      </w:pPr>
      <w:bookmarkStart w:id="3" w:name="_Toc360188323"/>
      <w:bookmarkStart w:id="4" w:name="_Toc473560871"/>
      <w:bookmarkStart w:id="5" w:name="_Toc151714359"/>
      <w:r>
        <w:t>1.</w:t>
      </w:r>
      <w:r>
        <w:tab/>
        <w:t>Kuvaus vakavaraisuudesta</w:t>
      </w:r>
      <w:bookmarkEnd w:id="3"/>
      <w:r>
        <w:t xml:space="preserve"> (CA)</w:t>
      </w:r>
      <w:bookmarkEnd w:id="4"/>
      <w:bookmarkEnd w:id="5"/>
    </w:p>
    <w:p w14:paraId="049C1634" w14:textId="77777777" w:rsidR="00CC7D2C" w:rsidRPr="002A677E" w:rsidRDefault="00CC7D2C" w:rsidP="005F25FD">
      <w:pPr>
        <w:pStyle w:val="Instructionsberschrift2"/>
        <w:numPr>
          <w:ilvl w:val="0"/>
          <w:numId w:val="0"/>
        </w:numPr>
        <w:ind w:left="357" w:hanging="357"/>
      </w:pPr>
      <w:bookmarkStart w:id="6" w:name="_Toc308175819"/>
      <w:bookmarkStart w:id="7" w:name="_Toc360188324"/>
      <w:bookmarkStart w:id="8" w:name="_Toc473560872"/>
      <w:bookmarkStart w:id="9" w:name="_Toc151714360"/>
      <w:r>
        <w:t>1.1.</w:t>
      </w:r>
      <w:r>
        <w:tab/>
        <w:t>Yleiset huomautukset</w:t>
      </w:r>
      <w:bookmarkEnd w:id="6"/>
      <w:bookmarkEnd w:id="7"/>
      <w:bookmarkEnd w:id="8"/>
      <w:bookmarkEnd w:id="9"/>
    </w:p>
    <w:p w14:paraId="730C7EE9"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t>11</w:t>
      </w:r>
      <w:r>
        <w:fldChar w:fldCharType="end"/>
      </w:r>
      <w:r>
        <w:t>.</w:t>
      </w:r>
      <w:r>
        <w:tab/>
        <w:t xml:space="preserve">CA-lomakkeet sisältävät tietoa ensimmäiseen pilariin kuuluvista osoittajista (omista varoista, ensisijaisesta pääomasta eli T1-pääomasta ja ydinpääomasta eli CET1-pääomasta), nimittäjästä (omien varojen vaatimuksista) sekä asetuksen (EU) N:o 575/2013 ja direktiivin 2013/36/EU siirtymäsäännösten soveltamisesta, ja ne jakautuvat viiteen lomakkeeseen: </w:t>
      </w:r>
    </w:p>
    <w:p w14:paraId="416DAF6C" w14:textId="77777777" w:rsidR="00CC7D2C" w:rsidRPr="002A677E" w:rsidRDefault="00CC7D2C" w:rsidP="00D1404A">
      <w:pPr>
        <w:pStyle w:val="InstructionsText2"/>
        <w:numPr>
          <w:ilvl w:val="0"/>
          <w:numId w:val="0"/>
        </w:numPr>
        <w:ind w:left="993"/>
      </w:pPr>
      <w:r>
        <w:t>a)</w:t>
      </w:r>
      <w:r>
        <w:tab/>
        <w:t>Lomake CA1 sisältää laitosten omien varojen määrän, joka on ilmoitettava jaettuna niihin omaisuuseriin, joista mainittu määrä muodostuu. Yhteenlaskettuun omien varojen määrään sisältyy eri pääomatyyppeihin kohdistuvien asetuksen (EU) N:o 575/2013 ja direktiivin 2013/36/EU siirtymäsäännösten soveltamisen kokonaisvaikutus.</w:t>
      </w:r>
    </w:p>
    <w:p w14:paraId="27EFA8F6" w14:textId="7AE1365E" w:rsidR="00CC7D2C" w:rsidRPr="002A677E" w:rsidRDefault="00CC7D2C" w:rsidP="00D1404A">
      <w:pPr>
        <w:pStyle w:val="InstructionsText2"/>
        <w:numPr>
          <w:ilvl w:val="0"/>
          <w:numId w:val="0"/>
        </w:numPr>
        <w:ind w:left="993"/>
      </w:pPr>
      <w:r>
        <w:t>b)</w:t>
      </w:r>
      <w:r>
        <w:tab/>
        <w:t>Lomakkeessa CA2 esitetään yhteenveto asetuksen (EU) N:o 575/2013 92 artiklan 3, 4 ja 5 kohdassa määritellyistä lattiallisista ja lattiattomista kokonaisriskin määristä (TREA) ja standardisoiduista kokonaisriskien määristä (S-TREA);</w:t>
      </w:r>
    </w:p>
    <w:p w14:paraId="3031C055" w14:textId="77777777" w:rsidR="00CC7D2C" w:rsidRPr="002A677E" w:rsidRDefault="00CC7D2C" w:rsidP="00D1404A">
      <w:pPr>
        <w:pStyle w:val="InstructionsText2"/>
        <w:numPr>
          <w:ilvl w:val="0"/>
          <w:numId w:val="0"/>
        </w:numPr>
        <w:ind w:left="993"/>
      </w:pPr>
      <w:r>
        <w:t>c)</w:t>
      </w:r>
      <w:r>
        <w:tab/>
        <w:t>Lomake CA3 sisältää osuudet, joille on määritetty asetuksessa (EU) N:o 575/2013 vähimmäistaso, toisen pilarin osuudet ja joitakin muita niihin liittyviä tietoja;</w:t>
      </w:r>
    </w:p>
    <w:p w14:paraId="7FAC43FB" w14:textId="77777777" w:rsidR="00CC7D2C" w:rsidRPr="002A677E" w:rsidRDefault="00CC7D2C" w:rsidP="00D1404A">
      <w:pPr>
        <w:pStyle w:val="InstructionsText2"/>
        <w:numPr>
          <w:ilvl w:val="0"/>
          <w:numId w:val="0"/>
        </w:numPr>
        <w:ind w:left="993"/>
      </w:pPr>
      <w:r>
        <w:t>d)</w:t>
      </w:r>
      <w:r>
        <w:tab/>
        <w:t xml:space="preserve">Lomake CA4 sisältää muun muassa CA1-lomakkeen omaisuuserien laskentaan tarvittavat lisätietoerät sekä direktiivin 2013/36/EU pääomapuskureita koskevia tietoja; </w:t>
      </w:r>
    </w:p>
    <w:p w14:paraId="0EB902DA" w14:textId="77777777" w:rsidR="00CC7D2C" w:rsidRPr="002A677E" w:rsidRDefault="00CC7D2C" w:rsidP="00D1404A">
      <w:pPr>
        <w:pStyle w:val="InstructionsText2"/>
        <w:numPr>
          <w:ilvl w:val="0"/>
          <w:numId w:val="0"/>
        </w:numPr>
        <w:ind w:left="993"/>
      </w:pPr>
      <w:r>
        <w:t>e)</w:t>
      </w:r>
      <w:r>
        <w:tab/>
        <w:t>Lomake CA5 sisältää tietoja, jotka tarvitaan laskettaessa asetuksen (EU) N:o 575/2013 siirtymäsäännösten soveltamisen vaikutuksia omiin varoihin. CA5 poistuu käytöstä, kun siirtymäsäännösten voimassaolo päättyy.</w:t>
      </w:r>
    </w:p>
    <w:p w14:paraId="6AAF12AD"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t>12</w:t>
      </w:r>
      <w:r>
        <w:fldChar w:fldCharType="end"/>
      </w:r>
      <w:r>
        <w:t>.</w:t>
      </w:r>
      <w:r>
        <w:tab/>
        <w:t>Kaikkien raportoivien yhteisöjen on käytettävä näitä lomakkeita riippumatta siitä, mitä tilinpäätössäännöstöä ne noudattavat, vaikka tietyt osoittajaan sisältyvät erät koskevatkin nimenomaan IAS/IFRS-tyypin arvostussääntöjä soveltavia yhteisöjä. Nimittäjään sisältyvät tiedot liittyvät yleensä lopullisiin tuloksiin, jotka ilmoitetaan vastaavissa kokonaisriskin määrän laskentaan tarkoitetuissa lomakkeissa.</w:t>
      </w:r>
    </w:p>
    <w:p w14:paraId="596C5A80" w14:textId="77777777" w:rsidR="00CC7D2C" w:rsidRPr="002A677E" w:rsidRDefault="00CC7D2C" w:rsidP="00D1404A">
      <w:pPr>
        <w:pStyle w:val="InstructionsText2"/>
        <w:numPr>
          <w:ilvl w:val="0"/>
          <w:numId w:val="0"/>
        </w:numPr>
      </w:pPr>
      <w:r>
        <w:lastRenderedPageBreak/>
        <w:fldChar w:fldCharType="begin"/>
      </w:r>
      <w:r>
        <w:instrText>seq paragraphs</w:instrText>
      </w:r>
      <w:r>
        <w:fldChar w:fldCharType="separate"/>
      </w:r>
      <w:r>
        <w:t>13</w:t>
      </w:r>
      <w:r>
        <w:fldChar w:fldCharType="end"/>
      </w:r>
      <w:r>
        <w:t>.</w:t>
      </w:r>
      <w:r>
        <w:tab/>
        <w:t xml:space="preserve">Omien varojen kokonaismäärä koostuu eri pääomatyypeistä: ensisijaisesta pääomasta (T1), joka on ydinpääoman (CET1) ja ensisijaisen lisäpääoman (AT1) summa, ja toissijaisesta pääomasta (T2). </w:t>
      </w:r>
    </w:p>
    <w:p w14:paraId="2CD8D0AB"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t>14</w:t>
      </w:r>
      <w:r>
        <w:fldChar w:fldCharType="end"/>
      </w:r>
      <w:r>
        <w:t>.</w:t>
      </w:r>
      <w:r>
        <w:tab/>
        <w:t>asetuksen (EU) N:o 575/2013 ja direktiivin 2013/36/EU siirtymäsäännösten soveltamista käsitellään CA-lomakkeissa seuraavasti:</w:t>
      </w:r>
    </w:p>
    <w:p w14:paraId="14CA06BE" w14:textId="77777777" w:rsidR="00CC7D2C" w:rsidRPr="002A677E" w:rsidRDefault="00CC7D2C" w:rsidP="00D1404A">
      <w:pPr>
        <w:pStyle w:val="InstructionsText2"/>
        <w:numPr>
          <w:ilvl w:val="0"/>
          <w:numId w:val="0"/>
        </w:numPr>
        <w:ind w:left="993"/>
      </w:pPr>
      <w:r>
        <w:t>a)</w:t>
      </w:r>
      <w:r>
        <w:tab/>
        <w:t>Lomakkeen CA1 erät ilmoitetaan yleensä bruttomääräisinä ilman siirtymäkauden oikaisuja. Tämä tarkoittaa sitä, että lomakkeen CA1 eriä koskevat luvut lasketaan lopullisten säännösten mukaisesti (ikään kuin siirtymäsäännöksiä ei olisikaan), paitsi jos on kyse eristä, joiden avulla kuvataan siirtymäsäännösten vaikutuksia. Kutakin pääomatyyppiä (eli CET1-, AT1- ja T2-pääomia) kohden on kolme eri omaisuuserää, joihin sisällytetään kaikki siirtymäsäännöksistä aiheutuvat oikaisut.</w:t>
      </w:r>
    </w:p>
    <w:p w14:paraId="2571599A" w14:textId="77777777" w:rsidR="00CC7D2C" w:rsidRPr="002A677E" w:rsidRDefault="00CC7D2C" w:rsidP="00D1404A">
      <w:pPr>
        <w:pStyle w:val="InstructionsText2"/>
        <w:numPr>
          <w:ilvl w:val="0"/>
          <w:numId w:val="0"/>
        </w:numPr>
        <w:ind w:left="993"/>
      </w:pPr>
      <w:r>
        <w:t>b)</w:t>
      </w:r>
      <w:r>
        <w:tab/>
        <w:t>Siirtymäsäännökset voivat vaikuttaa myös AT1- ja T2-pääomien alijäämään (eli asetuksen (EU) N:o 575/2013 36 artiklan 1 kohdan j alakohdalla ja 56 artiklalla säänneltyihin tilanteisiin, joissa tehdyt vähennykset ylittävät AT1- tai T2-pääoman määrän), joten sellaiset erät, jotka sisältävät tämänkaltaisia alijäämiä, voivat kuvastaa epäsuorasti siirtymäsäännösten vaikutuksia.</w:t>
      </w:r>
    </w:p>
    <w:p w14:paraId="088733BA" w14:textId="77777777" w:rsidR="00CC7D2C" w:rsidRPr="002A677E" w:rsidRDefault="00CC7D2C" w:rsidP="00D1404A">
      <w:pPr>
        <w:pStyle w:val="InstructionsText2"/>
        <w:numPr>
          <w:ilvl w:val="0"/>
          <w:numId w:val="0"/>
        </w:numPr>
        <w:ind w:left="993"/>
      </w:pPr>
      <w:r>
        <w:t>c)</w:t>
      </w:r>
      <w:r>
        <w:tab/>
        <w:t xml:space="preserve">Lomaketta CA5 käytetään yksinomaan sellaisten vaikutusten raportointiin, jotka johtuvat asetuksen (EU) N:o 575/2013 siirtymäsäännösten soveltamisesta ja joilla on vaikutusta omiin varoihin. </w:t>
      </w:r>
    </w:p>
    <w:p w14:paraId="45D824B0"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t>15</w:t>
      </w:r>
      <w:r>
        <w:fldChar w:fldCharType="end"/>
      </w:r>
      <w:r>
        <w:t>.</w:t>
      </w:r>
      <w:r>
        <w:tab/>
        <w:t xml:space="preserve">Toisen pilarin vaatimuksia voidaan käsitellä unionissa eri tavoin (direktiivin 2013/36/EU 104 a artiklan 1 kohta on saatettava osaksi kansallista lainsäädäntöä). Asetuksen (EU) N:o 575/2013 nojalla vaadittuun vakavaraisuusraportointiin sisällytetään ainoastaan toisen pilarin vaatimusten vaikutukset vakavaraisuussuhteeseen tai tavoitesuhteeseen. </w:t>
      </w:r>
    </w:p>
    <w:p w14:paraId="10043DAC" w14:textId="77777777" w:rsidR="00CC7D2C" w:rsidRPr="002A677E" w:rsidRDefault="00CC7D2C" w:rsidP="00D1404A">
      <w:pPr>
        <w:pStyle w:val="InstructionsText2"/>
        <w:numPr>
          <w:ilvl w:val="0"/>
          <w:numId w:val="0"/>
        </w:numPr>
        <w:ind w:left="993"/>
      </w:pPr>
      <w:r>
        <w:t>a)</w:t>
      </w:r>
      <w:r>
        <w:tab/>
        <w:t>Lomakkeet CA1, CA2 ja CA5 sisältävät ainoastaan ensimmäiseen pilariin kuuluvia tietoja.</w:t>
      </w:r>
    </w:p>
    <w:p w14:paraId="0DBE98C6" w14:textId="77777777" w:rsidR="00CC7D2C" w:rsidRPr="002A677E" w:rsidRDefault="00CC7D2C" w:rsidP="00D1404A">
      <w:pPr>
        <w:pStyle w:val="InstructionsText2"/>
        <w:numPr>
          <w:ilvl w:val="0"/>
          <w:numId w:val="0"/>
        </w:numPr>
        <w:ind w:left="993"/>
      </w:pPr>
      <w:r>
        <w:t>b)</w:t>
      </w:r>
      <w:r>
        <w:tab/>
        <w:t>Lomake CA3 sisältää koostetut tiedot toisen pilarin synnyttämien lisävaatimusten vaikutuksista vakavaraisuussuhteeseen. Siinä keskitytään pääasiassa tarkastelemaan tavoitesuhteita. Muuta yhteyttä lomakkeisiin CA1, CA2 tai CA5 ei ole.</w:t>
      </w:r>
    </w:p>
    <w:p w14:paraId="63F79AA0" w14:textId="77777777" w:rsidR="00CC7D2C" w:rsidRDefault="00CC7D2C" w:rsidP="00D1404A">
      <w:pPr>
        <w:pStyle w:val="InstructionsText2"/>
        <w:numPr>
          <w:ilvl w:val="0"/>
          <w:numId w:val="0"/>
        </w:numPr>
        <w:ind w:left="993"/>
      </w:pPr>
      <w:r>
        <w:t>c)</w:t>
      </w:r>
      <w:r>
        <w:tab/>
        <w:t>Lomakkeeseen CA4 sisältyy yksi solu, joka koskee toiseen pilariin liittyviä omien varojen lisävaatimuksia. Tämä solu ei ole validointisääntöjen kautta minkäänlaisessa yhteydessä lomakkeen CA3 vakavaraisuussuhteisiin, vaan se ilmentää direktiivin 2013/36/EU 104 a artiklan 1 kohtaa, jossa omien varojen lisävaatimukset mainitaan erikseen vaihtoehtona toista pilaria koskevalle päätöksenteolle.</w:t>
      </w:r>
    </w:p>
    <w:p w14:paraId="2CF3DCE5" w14:textId="5ACFDC1A" w:rsidR="00CC7D2C" w:rsidRDefault="00CC7D2C" w:rsidP="00D1404A">
      <w:pPr>
        <w:pStyle w:val="InstructionsText2"/>
        <w:numPr>
          <w:ilvl w:val="0"/>
          <w:numId w:val="0"/>
        </w:numPr>
      </w:pPr>
      <w:r>
        <w:t xml:space="preserve">15 a. Kokonaisriskipainolattiaa koskevien vaatimusten soveltaminen voi vaikuttaa </w:t>
      </w:r>
      <w:proofErr w:type="spellStart"/>
      <w:r>
        <w:t>TREAan</w:t>
      </w:r>
      <w:proofErr w:type="spellEnd"/>
      <w:r>
        <w:t xml:space="preserve"> sekä omien varojen vaatimuksiin, joiden laskeminen riippuu </w:t>
      </w:r>
      <w:proofErr w:type="spellStart"/>
      <w:r>
        <w:t>TREAsta</w:t>
      </w:r>
      <w:proofErr w:type="spellEnd"/>
      <w:r>
        <w:t>: vakavaraisuussuhteet, toisen pilarin vaatimukset ja pääomapuskurit. Jos toimivaltainen viranomainen on soveltanut asetuksen (EU) N:o 575/2013 92 artiklan 3 kohdan toisessa alakohdassa säädettyä poikkeusta, kokonaisriskipainolattiaa koskeviin vaatimuksiin liittyvät tiedot on ilmoitettava vastaavasti.</w:t>
      </w:r>
      <w:r w:rsidR="008445EC">
        <w:t xml:space="preserve"> </w:t>
      </w:r>
    </w:p>
    <w:p w14:paraId="226DFED5" w14:textId="77777777" w:rsidR="00CC7D2C" w:rsidRPr="005B630F" w:rsidRDefault="00CC7D2C" w:rsidP="00D1404A">
      <w:pPr>
        <w:pStyle w:val="InstructionsText2"/>
        <w:numPr>
          <w:ilvl w:val="0"/>
          <w:numId w:val="0"/>
        </w:numPr>
        <w:ind w:left="993"/>
      </w:pPr>
      <w:r>
        <w:lastRenderedPageBreak/>
        <w:t>a)</w:t>
      </w:r>
      <w:r>
        <w:tab/>
        <w:t xml:space="preserve">Lomake CA2 sisältää lattialliset, lattiattomat ja standardoidut kokonaisriskin määrät. Lattiallisessa ja standardoidussa </w:t>
      </w:r>
      <w:proofErr w:type="spellStart"/>
      <w:r>
        <w:t>TREAssa</w:t>
      </w:r>
      <w:proofErr w:type="spellEnd"/>
      <w:r>
        <w:t xml:space="preserve"> otetaan huomioon siirtymäjärjestelyjen vaikutus asetuksen (EU) N:o 575/2013 465 artiklassa määriteltyyn kokonaisriskipainolattiaan.</w:t>
      </w:r>
    </w:p>
    <w:p w14:paraId="70D5E959" w14:textId="77777777" w:rsidR="00CC7D2C" w:rsidRDefault="00CC7D2C" w:rsidP="00D1404A">
      <w:pPr>
        <w:pStyle w:val="InstructionsText2"/>
        <w:numPr>
          <w:ilvl w:val="0"/>
          <w:numId w:val="0"/>
        </w:numPr>
        <w:ind w:left="993"/>
      </w:pPr>
      <w:r>
        <w:t>b)</w:t>
      </w:r>
      <w:r>
        <w:tab/>
        <w:t xml:space="preserve">Lomake CA3 sisältää vähimmäisvakavaraisuussuhteet ja </w:t>
      </w:r>
      <w:proofErr w:type="spellStart"/>
      <w:r>
        <w:t>SREP:n</w:t>
      </w:r>
      <w:proofErr w:type="spellEnd"/>
      <w:r>
        <w:t xml:space="preserve"> mukaisen kokonaispääomavaatimuksen (TSCR) ennen direktiivin 2013/36/EU 104 a artiklassa säädettyä ylärajaa ja sen jälkeen sekä vakavaraisuussuhteet ilman kokonaisriskipainolattiaa koskevia siirtymäjärjestelyjä.</w:t>
      </w:r>
    </w:p>
    <w:p w14:paraId="5965EF78" w14:textId="77777777" w:rsidR="00CC7D2C" w:rsidRDefault="00CC7D2C" w:rsidP="00D1404A">
      <w:pPr>
        <w:pStyle w:val="InstructionsText2"/>
        <w:numPr>
          <w:ilvl w:val="0"/>
          <w:numId w:val="0"/>
        </w:numPr>
        <w:ind w:left="993"/>
      </w:pPr>
      <w:r>
        <w:t>15 b. Lomake CA4 sisältää lattian mukautusten määrät kokonaisriskipainolattiaa koskevia siirtymäjärjestelyjä sovellettaessa ja ilman niiden soveltamista sekä asetuksen (EU) N:o 575/2013 465 artiklan 1 kohdan mukaisesti sovellettavan kokonaisriskipainolattian prosenttiosuuden.</w:t>
      </w:r>
    </w:p>
    <w:p w14:paraId="36A0BD6A" w14:textId="56D896A4" w:rsidR="00CC7D2C" w:rsidRDefault="00DA32D5" w:rsidP="00A85510">
      <w:pPr>
        <w:pStyle w:val="InstructionsText2"/>
        <w:numPr>
          <w:ilvl w:val="0"/>
          <w:numId w:val="0"/>
        </w:numPr>
        <w:rPr>
          <w:noProof/>
        </w:rPr>
      </w:pPr>
      <w:r>
        <w:t>15 c.</w:t>
      </w:r>
      <w:r w:rsidR="008445EC">
        <w:t xml:space="preserve"> </w:t>
      </w:r>
      <w:r>
        <w:t xml:space="preserve">Lomake C 06.02 sisältää konsolidoinnin piiriin kuuluvien yhteisöjen </w:t>
      </w:r>
      <w:proofErr w:type="spellStart"/>
      <w:r>
        <w:t>TREAn</w:t>
      </w:r>
      <w:proofErr w:type="spellEnd"/>
      <w:r>
        <w:t xml:space="preserve"> lattian mukautuksen.</w:t>
      </w:r>
    </w:p>
    <w:p w14:paraId="4F8F57C9" w14:textId="0A698E9C" w:rsidR="00CC7D2C" w:rsidRPr="002A677E" w:rsidRDefault="00CC7D2C" w:rsidP="00A85510">
      <w:pPr>
        <w:pStyle w:val="InstructionsText2"/>
        <w:numPr>
          <w:ilvl w:val="0"/>
          <w:numId w:val="0"/>
        </w:numPr>
        <w:rPr>
          <w:noProof/>
        </w:rPr>
      </w:pPr>
      <w:r>
        <w:t xml:space="preserve">15 d. Lomakkeet C10.00, C13.01, C14.01 ja C34.02 sisältävät tietoja asetuksen (EU) N:o 575/2013 92 artiklan 5 kohdan mukaisesti lasketuista standardisoiduista vastuuarvoista ja standardoidusta </w:t>
      </w:r>
      <w:proofErr w:type="spellStart"/>
      <w:r>
        <w:t>TREAsta</w:t>
      </w:r>
      <w:proofErr w:type="spellEnd"/>
      <w:r>
        <w:t xml:space="preserve"> sekä soveltuvin osin S-</w:t>
      </w:r>
      <w:proofErr w:type="spellStart"/>
      <w:r>
        <w:t>TREAn</w:t>
      </w:r>
      <w:proofErr w:type="spellEnd"/>
      <w:r>
        <w:t xml:space="preserve"> laskentaa koskevien siirtymäjärjestelyjen vaikutuksesta.</w:t>
      </w:r>
      <w:r w:rsidR="008445EC">
        <w:t xml:space="preserve"> </w:t>
      </w:r>
      <w:r>
        <w:t xml:space="preserve"> </w:t>
      </w:r>
    </w:p>
    <w:p w14:paraId="49279069" w14:textId="77777777" w:rsidR="00CC7D2C" w:rsidRPr="002A677E" w:rsidRDefault="00CC7D2C" w:rsidP="00D1404A">
      <w:pPr>
        <w:pStyle w:val="InstructionsText2"/>
        <w:numPr>
          <w:ilvl w:val="0"/>
          <w:numId w:val="0"/>
        </w:numPr>
        <w:ind w:left="993"/>
      </w:pPr>
    </w:p>
    <w:p w14:paraId="0DDBF68C" w14:textId="77777777" w:rsidR="00CC7D2C" w:rsidRPr="002A677E" w:rsidRDefault="00CC7D2C" w:rsidP="00D1404A">
      <w:pPr>
        <w:pStyle w:val="Instructionsberschrift2"/>
        <w:numPr>
          <w:ilvl w:val="0"/>
          <w:numId w:val="0"/>
        </w:numPr>
        <w:ind w:left="357" w:hanging="357"/>
      </w:pPr>
      <w:bookmarkStart w:id="10" w:name="_Toc473560873"/>
      <w:bookmarkStart w:id="11" w:name="_Toc151714361"/>
      <w:bookmarkStart w:id="12" w:name="_Toc308175820"/>
      <w:bookmarkStart w:id="13" w:name="_Toc360188325"/>
      <w:r>
        <w:rPr>
          <w:u w:val="none"/>
        </w:rPr>
        <w:t>1.2.</w:t>
      </w:r>
      <w:r>
        <w:rPr>
          <w:u w:val="none"/>
        </w:rPr>
        <w:tab/>
      </w:r>
      <w:r>
        <w:t>C 01.00 – OMAT VARAT (CA1)</w:t>
      </w:r>
      <w:bookmarkEnd w:id="10"/>
      <w:bookmarkEnd w:id="11"/>
      <w:r>
        <w:t xml:space="preserve"> </w:t>
      </w:r>
      <w:bookmarkEnd w:id="12"/>
      <w:bookmarkEnd w:id="13"/>
    </w:p>
    <w:p w14:paraId="4A8E09A3" w14:textId="77777777" w:rsidR="00CC7D2C" w:rsidRPr="002A677E" w:rsidRDefault="00CC7D2C" w:rsidP="00D1404A">
      <w:pPr>
        <w:pStyle w:val="Instructionsberschrift2"/>
        <w:numPr>
          <w:ilvl w:val="0"/>
          <w:numId w:val="0"/>
        </w:numPr>
        <w:ind w:left="357" w:hanging="357"/>
      </w:pPr>
      <w:bookmarkStart w:id="14" w:name="_Toc308175821"/>
      <w:bookmarkStart w:id="15" w:name="_Toc310414968"/>
      <w:bookmarkStart w:id="16" w:name="_Toc360188326"/>
      <w:bookmarkStart w:id="17" w:name="_Toc473560874"/>
      <w:bookmarkStart w:id="18" w:name="_Toc151714362"/>
      <w:r>
        <w:rPr>
          <w:u w:val="none"/>
        </w:rPr>
        <w:t>1.2.1.</w:t>
      </w:r>
      <w:r>
        <w:rPr>
          <w:u w:val="none"/>
        </w:rPr>
        <w:tab/>
      </w:r>
      <w:r>
        <w:t>Positiokohtaiset ohjeet</w:t>
      </w:r>
      <w:bookmarkEnd w:id="14"/>
      <w:bookmarkEnd w:id="15"/>
      <w:bookmarkEnd w:id="16"/>
      <w:bookmarkEnd w:id="17"/>
      <w:bookmarkEnd w:id="18"/>
    </w:p>
    <w:p w14:paraId="46149592" w14:textId="77777777" w:rsidR="00CC7D2C" w:rsidRPr="002A677E" w:rsidRDefault="00CC7D2C" w:rsidP="00320EFD">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C7D2C" w:rsidRPr="002A677E" w14:paraId="7C64B19F" w14:textId="77777777" w:rsidTr="00822842">
        <w:tc>
          <w:tcPr>
            <w:tcW w:w="1129" w:type="dxa"/>
            <w:shd w:val="clear" w:color="auto" w:fill="D9D9D9"/>
          </w:tcPr>
          <w:p w14:paraId="1EBAD656" w14:textId="77777777" w:rsidR="00CC7D2C" w:rsidRPr="002A677E" w:rsidRDefault="00CC7D2C" w:rsidP="00320EFD">
            <w:pPr>
              <w:pStyle w:val="InstructionsText"/>
              <w:rPr>
                <w:rStyle w:val="InstructionsTabelleText"/>
                <w:rFonts w:ascii="Times New Roman" w:hAnsi="Times New Roman"/>
                <w:bCs/>
                <w:sz w:val="24"/>
              </w:rPr>
            </w:pPr>
            <w:r>
              <w:rPr>
                <w:rStyle w:val="InstructionsTabelleText"/>
                <w:rFonts w:ascii="Times New Roman" w:hAnsi="Times New Roman"/>
                <w:sz w:val="24"/>
              </w:rPr>
              <w:t>Rivi</w:t>
            </w:r>
          </w:p>
        </w:tc>
        <w:tc>
          <w:tcPr>
            <w:tcW w:w="7620" w:type="dxa"/>
            <w:shd w:val="clear" w:color="auto" w:fill="D9D9D9"/>
          </w:tcPr>
          <w:p w14:paraId="00BD61FC" w14:textId="77777777" w:rsidR="00CC7D2C" w:rsidRPr="002A677E" w:rsidRDefault="00CC7D2C" w:rsidP="00320EFD">
            <w:pPr>
              <w:pStyle w:val="InstructionsText"/>
              <w:rPr>
                <w:rStyle w:val="InstructionsTabelleText"/>
                <w:rFonts w:ascii="Times New Roman" w:hAnsi="Times New Roman"/>
                <w:bCs/>
                <w:sz w:val="24"/>
              </w:rPr>
            </w:pPr>
            <w:r>
              <w:rPr>
                <w:rStyle w:val="InstructionsTabelleText"/>
                <w:rFonts w:ascii="Times New Roman" w:hAnsi="Times New Roman"/>
                <w:sz w:val="24"/>
              </w:rPr>
              <w:t>Lainsäädäntöviittaukset ja ohjeet</w:t>
            </w:r>
          </w:p>
        </w:tc>
      </w:tr>
      <w:tr w:rsidR="00CC7D2C" w:rsidRPr="002A677E" w14:paraId="4C04A885" w14:textId="77777777" w:rsidTr="00822842">
        <w:tc>
          <w:tcPr>
            <w:tcW w:w="1129" w:type="dxa"/>
          </w:tcPr>
          <w:p w14:paraId="3DFF1FF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7F7B229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Pr>
                <w:rStyle w:val="InstructionsTabelleberschrift"/>
                <w:rFonts w:ascii="Times New Roman" w:hAnsi="Times New Roman"/>
                <w:sz w:val="24"/>
              </w:rPr>
              <w:tab/>
              <w:t>Omat varat</w:t>
            </w:r>
          </w:p>
          <w:p w14:paraId="31EC155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 artiklan 1 kohdan 118 alakohta ja 72 artikla</w:t>
            </w:r>
          </w:p>
          <w:p w14:paraId="48FA791A"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Laitoksen omat varat koostuvat sen ensisijaisen pääoman (T1) ja toissijaisen pääoman (T2) summasta.</w:t>
            </w:r>
          </w:p>
        </w:tc>
      </w:tr>
      <w:tr w:rsidR="00CC7D2C" w:rsidRPr="002A677E" w14:paraId="5E03706C" w14:textId="77777777" w:rsidTr="00822842">
        <w:tc>
          <w:tcPr>
            <w:tcW w:w="1129" w:type="dxa"/>
          </w:tcPr>
          <w:p w14:paraId="69C1DA7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0015</w:t>
            </w:r>
          </w:p>
        </w:tc>
        <w:tc>
          <w:tcPr>
            <w:tcW w:w="7620" w:type="dxa"/>
          </w:tcPr>
          <w:p w14:paraId="4CE80E5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rPr>
                <w:rStyle w:val="InstructionsTabelleberschrift"/>
                <w:rFonts w:ascii="Times New Roman" w:hAnsi="Times New Roman"/>
                <w:sz w:val="24"/>
              </w:rPr>
              <w:tab/>
              <w:t>Ensisijainen pääoma (T1)</w:t>
            </w:r>
          </w:p>
          <w:p w14:paraId="7D7B993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25 artikla</w:t>
            </w:r>
          </w:p>
          <w:p w14:paraId="09B0C85E"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Ensisijainen pääoma (T1) on ydinpääoman (CET1) ja ensisijaisen lisäpääoman (AT1) summa. </w:t>
            </w:r>
          </w:p>
        </w:tc>
      </w:tr>
      <w:tr w:rsidR="00CC7D2C" w:rsidRPr="002A677E" w14:paraId="5DCDFC6B" w14:textId="77777777" w:rsidTr="00822842">
        <w:tc>
          <w:tcPr>
            <w:tcW w:w="1129" w:type="dxa"/>
          </w:tcPr>
          <w:p w14:paraId="44FCDAD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3365454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Pr>
                <w:rStyle w:val="InstructionsTabelleberschrift"/>
                <w:rFonts w:ascii="Times New Roman" w:hAnsi="Times New Roman"/>
                <w:sz w:val="24"/>
              </w:rPr>
              <w:tab/>
              <w:t>Ydinpääoma (CET1)</w:t>
            </w:r>
          </w:p>
          <w:p w14:paraId="4F1E707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50 artikla</w:t>
            </w:r>
          </w:p>
        </w:tc>
      </w:tr>
      <w:tr w:rsidR="00CC7D2C" w:rsidRPr="002A677E" w14:paraId="50E5DD49" w14:textId="77777777" w:rsidTr="00822842">
        <w:tc>
          <w:tcPr>
            <w:tcW w:w="1129" w:type="dxa"/>
          </w:tcPr>
          <w:p w14:paraId="425977A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7D4F1E65" w14:textId="77777777" w:rsidR="00CC7D2C" w:rsidRPr="001235ED"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rPr>
                <w:rStyle w:val="InstructionsTabelleberschrift"/>
                <w:rFonts w:ascii="Times New Roman" w:hAnsi="Times New Roman"/>
                <w:sz w:val="24"/>
              </w:rPr>
              <w:tab/>
              <w:t>Ydinpääomaksi (CET1) hyväksyttävät pääomainstrumentit ja ylikurssirahastot</w:t>
            </w:r>
          </w:p>
          <w:p w14:paraId="5F4E10C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26 artiklan 1 kohdan a ja b alakohta, 27–30 artikla, 36 artiklan 1 kohdan f alakohta ja 42 artikla</w:t>
            </w:r>
          </w:p>
        </w:tc>
      </w:tr>
      <w:tr w:rsidR="00CC7D2C" w:rsidRPr="002A677E" w14:paraId="0656D54B" w14:textId="77777777" w:rsidTr="00822842">
        <w:tc>
          <w:tcPr>
            <w:tcW w:w="1129" w:type="dxa"/>
          </w:tcPr>
          <w:p w14:paraId="1D67083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0040</w:t>
            </w:r>
          </w:p>
        </w:tc>
        <w:tc>
          <w:tcPr>
            <w:tcW w:w="7620" w:type="dxa"/>
          </w:tcPr>
          <w:p w14:paraId="14B2355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rPr>
                <w:rStyle w:val="InstructionsTabelleberschrift"/>
                <w:rFonts w:ascii="Times New Roman" w:hAnsi="Times New Roman"/>
                <w:sz w:val="24"/>
              </w:rPr>
              <w:tab/>
              <w:t>Kokonaan maksetut pääomainstrumentit</w:t>
            </w:r>
          </w:p>
          <w:p w14:paraId="13B60A6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26 artiklan 1 kohdan a alakohta ja 27–31 artikla</w:t>
            </w:r>
          </w:p>
          <w:p w14:paraId="49B9CE2F"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Tähän kohtaan sisällytetään keskinäisten yhtiöiden, osuuskuntien tai vastaavien laitosten pääomainstrumentit (asetuksen (EU) N:o 575/2013 27 ja 29 artikla).</w:t>
            </w:r>
          </w:p>
          <w:p w14:paraId="7827C6D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Siihen ei sisällytetä instrumentteihin liittyvää ylikurssirahastoa.</w:t>
            </w:r>
          </w:p>
          <w:p w14:paraId="2903801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Viranomaisten kriisitilanteissa merkitsemät pääomainstrumentit sisällytetään tähän, jos asetuksen (EU) N:o 575/2013 31 artiklan kaikki edellytykset täyttyvät.</w:t>
            </w:r>
          </w:p>
        </w:tc>
      </w:tr>
      <w:tr w:rsidR="00CC7D2C" w:rsidRPr="002A677E" w14:paraId="4E036248" w14:textId="77777777" w:rsidTr="00822842">
        <w:tc>
          <w:tcPr>
            <w:tcW w:w="1129" w:type="dxa"/>
          </w:tcPr>
          <w:p w14:paraId="4C41624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0045</w:t>
            </w:r>
          </w:p>
        </w:tc>
        <w:tc>
          <w:tcPr>
            <w:tcW w:w="7620" w:type="dxa"/>
          </w:tcPr>
          <w:p w14:paraId="03643B4D"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rPr>
                <w:rStyle w:val="InstructionsTabelleberschrift"/>
                <w:rFonts w:ascii="Times New Roman" w:hAnsi="Times New Roman"/>
                <w:sz w:val="24"/>
              </w:rPr>
              <w:tab/>
              <w:t>Joista: viranomaisten kriisitilanteissa merkitsemät pääomainstrumentit</w:t>
            </w:r>
          </w:p>
          <w:p w14:paraId="3743B5F7"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Asetuksen (EU) N:o 575/2013 31 artikla</w:t>
            </w:r>
          </w:p>
          <w:p w14:paraId="3BA8990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Viranomaisten kriisitilanteissa merkitsemät pääomainstrumentit sisällytetään ydinpääomaan (CET1), jos asetuksen (EU) N:o 575/2013 31 artiklan kaikki edellytykset täyttyvät.</w:t>
            </w:r>
          </w:p>
        </w:tc>
      </w:tr>
      <w:tr w:rsidR="00CC7D2C" w:rsidRPr="002A677E" w14:paraId="46C4E17A" w14:textId="77777777" w:rsidTr="00822842">
        <w:tc>
          <w:tcPr>
            <w:tcW w:w="1129" w:type="dxa"/>
          </w:tcPr>
          <w:p w14:paraId="72DE3B9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52A1357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rPr>
                <w:rStyle w:val="InstructionsTabelleberschrift"/>
                <w:rFonts w:ascii="Times New Roman" w:hAnsi="Times New Roman"/>
                <w:sz w:val="24"/>
              </w:rPr>
              <w:tab/>
              <w:t>Lisätietoerä: ei-hyväksyttävät pääomainstrumentit</w:t>
            </w:r>
          </w:p>
          <w:p w14:paraId="0D8C40B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28 artiklan 1 kohdan b, l ja m alakohta</w:t>
            </w:r>
          </w:p>
          <w:p w14:paraId="589C62D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Alakohdissa säädetyt edellytykset kuvastavat erilaisia pääomatilanteita, jotka voivat muuttua, minkä vuoksi tässä ilmoitettava määrä voi olla hyväksyttävä myöhempien kausien aikana.</w:t>
            </w:r>
          </w:p>
          <w:p w14:paraId="02886CD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Ilmoitettavaan määrään ei sisällytetä instrumentteihin liittyvää ylikurssirahastoa.</w:t>
            </w:r>
          </w:p>
        </w:tc>
      </w:tr>
      <w:tr w:rsidR="00CC7D2C" w:rsidRPr="002A677E" w14:paraId="08897B4B" w14:textId="77777777" w:rsidTr="00822842">
        <w:tc>
          <w:tcPr>
            <w:tcW w:w="1129" w:type="dxa"/>
          </w:tcPr>
          <w:p w14:paraId="0A0AEFF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60A3F399"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rPr>
                <w:rStyle w:val="InstructionsTabelleberschrift"/>
                <w:rFonts w:ascii="Times New Roman" w:hAnsi="Times New Roman"/>
                <w:sz w:val="24"/>
              </w:rPr>
              <w:tab/>
              <w:t>Ylikurssirahasto</w:t>
            </w:r>
          </w:p>
          <w:p w14:paraId="0CC528E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 artiklan 1 kohdan 124 alakohta ja 26 artiklan 1 kohdan b alakohta</w:t>
            </w:r>
          </w:p>
          <w:p w14:paraId="02BDC94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Ylikurssirahastolla tarkoitetaan samaa kuin sovellettavassa tilinpäätössäännöstössä. </w:t>
            </w:r>
          </w:p>
          <w:p w14:paraId="45DE9F1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Tässä kohdassa ilmoitettava määrä on ”Kokonaan maksettuihin pääomainstrumentteihin” liittyvä osa. </w:t>
            </w:r>
          </w:p>
        </w:tc>
      </w:tr>
      <w:tr w:rsidR="00CC7D2C" w:rsidRPr="002A677E" w14:paraId="4E2BC4B8" w14:textId="77777777" w:rsidTr="00822842">
        <w:tc>
          <w:tcPr>
            <w:tcW w:w="1129" w:type="dxa"/>
          </w:tcPr>
          <w:p w14:paraId="1D4B992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783E594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rPr>
                <w:rStyle w:val="InstructionsTabelleberschrift"/>
                <w:rFonts w:ascii="Times New Roman" w:hAnsi="Times New Roman"/>
                <w:sz w:val="24"/>
              </w:rPr>
              <w:tab/>
              <w:t>(-) Omat ydinpääoman (CET1) instrumentit</w:t>
            </w:r>
          </w:p>
          <w:p w14:paraId="0AF323C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36 artiklan 1 kohdan f alakohta ja 42 artikla</w:t>
            </w:r>
          </w:p>
          <w:p w14:paraId="2CAF507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Näillä tarkoitetaan omaa ydinpääomaa (CET1), joka on raportoivan laitoksen tai ryhmän hallussa raportointipäivänä, ja ydinpääoman (CET1) instrumenttien määriä, jotka on vähennettävä komission delegoidun asetuksen (EU) N:o 241/2014</w:t>
            </w:r>
            <w:r w:rsidRPr="002A677E">
              <w:rPr>
                <w:rStyle w:val="FootnoteReference"/>
                <w:bCs/>
                <w:vertAlign w:val="superscript"/>
              </w:rPr>
              <w:footnoteReference w:id="1"/>
            </w:r>
            <w:r>
              <w:rPr>
                <w:rStyle w:val="FormatvorlageInstructionsTabelleText"/>
                <w:rFonts w:ascii="Times New Roman" w:hAnsi="Times New Roman"/>
                <w:sz w:val="24"/>
              </w:rPr>
              <w:t xml:space="preserve"> 28 artiklan 2 kohdan mukaisesti. Tätä erää </w:t>
            </w:r>
            <w:r>
              <w:rPr>
                <w:rStyle w:val="FormatvorlageInstructionsTabelleText"/>
                <w:rFonts w:ascii="Times New Roman" w:hAnsi="Times New Roman"/>
                <w:sz w:val="24"/>
              </w:rPr>
              <w:lastRenderedPageBreak/>
              <w:t>koskevat asetuksen (EU) N:o 575/2013 42 artiklassa säädetyt poikkeukset.</w:t>
            </w:r>
          </w:p>
          <w:p w14:paraId="5CADFB2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Kohtaan ”Ei-hyväksyttävät pääomainstrumentit” sisällytettäviä osakkeiden omistusosuuksia ei ilmoiteta tällä rivillä.</w:t>
            </w:r>
          </w:p>
          <w:p w14:paraId="1988196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Ilmoitettavaan määrään on sisällytettävä omiin osakkeisiin liittyvä ylikurssirahasto.</w:t>
            </w:r>
          </w:p>
          <w:p w14:paraId="154333E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Erät 1.1.1.1.4–1.1.1.1.4.3 eivät sisällä tosiasiallisia tai ehdollisia omien ydinpääoman (CET1) instrumenttien ostovelvoitteita. Tosiasialliset tai ehdolliset omien ydinpääoman (CET1) instrumenttien ostovelvoitteet ilmoitetaan erikseen erässä 1.1.1.1.5.</w:t>
            </w:r>
          </w:p>
        </w:tc>
      </w:tr>
      <w:tr w:rsidR="00CC7D2C" w:rsidRPr="002A677E" w14:paraId="20C40C47" w14:textId="77777777" w:rsidTr="00822842">
        <w:tc>
          <w:tcPr>
            <w:tcW w:w="1129" w:type="dxa"/>
          </w:tcPr>
          <w:p w14:paraId="0026947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0080</w:t>
            </w:r>
          </w:p>
        </w:tc>
        <w:tc>
          <w:tcPr>
            <w:tcW w:w="7620" w:type="dxa"/>
          </w:tcPr>
          <w:p w14:paraId="631AA05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rPr>
                <w:rStyle w:val="InstructionsTabelleberschrift"/>
                <w:rFonts w:ascii="Times New Roman" w:hAnsi="Times New Roman"/>
                <w:sz w:val="24"/>
              </w:rPr>
              <w:tab/>
              <w:t>(-) Suorat ydinpääoman (CET1) instrumenttien omistusosuudet</w:t>
            </w:r>
          </w:p>
          <w:p w14:paraId="0F857D1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36 artiklan 1 kohdan f alakohta ja 42 artikla</w:t>
            </w:r>
          </w:p>
          <w:p w14:paraId="0F1D145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Näitä ovat erään 1.1.1.1 kuuluvat ydinpääoman (CET1) instrumentit, jotka ovat konsolidoidun ryhmän laitosten hallussa, ja ydinpääoman (CET1) instrumenttien määrät, jotka on vähennettävä delegoidun asetuksen (EU) N:o 241/2014 28 artiklan 2 kohdan mukaisesti. </w:t>
            </w:r>
          </w:p>
          <w:p w14:paraId="69A2AC9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Ilmoitettavaan määrään on sisällytettävä kaupankäyntivarastoon kuuluvat omistusosuudet, jotka on laskettu pitkän nettoposition perusteella asetuksen (EU) N:o 575/2013 42 artiklan a alakohdassa esitetyllä tavalla.</w:t>
            </w:r>
          </w:p>
        </w:tc>
      </w:tr>
      <w:tr w:rsidR="00CC7D2C" w:rsidRPr="002A677E" w14:paraId="0CC49E4B" w14:textId="77777777" w:rsidTr="00822842">
        <w:tc>
          <w:tcPr>
            <w:tcW w:w="1129" w:type="dxa"/>
          </w:tcPr>
          <w:p w14:paraId="1C17B71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54D7C92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rPr>
                <w:rStyle w:val="InstructionsTabelleberschrift"/>
                <w:rFonts w:ascii="Times New Roman" w:hAnsi="Times New Roman"/>
                <w:sz w:val="24"/>
              </w:rPr>
              <w:tab/>
              <w:t>(-) Välilliset ydinpääoman (CET1) instrumenttien omistusosuudet</w:t>
            </w:r>
          </w:p>
          <w:p w14:paraId="754C577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 artiklan 1 kohdan 114 alakohta, 36 artiklan 1 kohdan f alakohta ja 42 artikla</w:t>
            </w:r>
          </w:p>
        </w:tc>
      </w:tr>
      <w:tr w:rsidR="00CC7D2C" w:rsidRPr="002A677E" w14:paraId="1F25B017" w14:textId="77777777" w:rsidTr="00822842">
        <w:tc>
          <w:tcPr>
            <w:tcW w:w="1129" w:type="dxa"/>
          </w:tcPr>
          <w:p w14:paraId="6DF954E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0091</w:t>
            </w:r>
          </w:p>
        </w:tc>
        <w:tc>
          <w:tcPr>
            <w:tcW w:w="7620" w:type="dxa"/>
          </w:tcPr>
          <w:p w14:paraId="113BCBFC"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rPr>
                <w:rStyle w:val="InstructionsTabelleberschrift"/>
                <w:rFonts w:ascii="Times New Roman" w:hAnsi="Times New Roman"/>
                <w:sz w:val="24"/>
              </w:rPr>
              <w:tab/>
              <w:t>(-) Synteettiset ydinpääoman (CET1) instrumenttien omistusosuudet</w:t>
            </w:r>
          </w:p>
          <w:p w14:paraId="3E0D4BE7"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Asetuksen (EU) N:o 575/2013 4 artiklan 1 kohdan 126 alakohta, 36 artiklan 1 kohdan f alakohta ja 42 artikla</w:t>
            </w:r>
          </w:p>
        </w:tc>
      </w:tr>
      <w:tr w:rsidR="00CC7D2C" w:rsidRPr="002A677E" w14:paraId="33CE3BE1" w14:textId="77777777" w:rsidTr="00822842">
        <w:tc>
          <w:tcPr>
            <w:tcW w:w="1129" w:type="dxa"/>
          </w:tcPr>
          <w:p w14:paraId="03E12DA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0092</w:t>
            </w:r>
          </w:p>
        </w:tc>
        <w:tc>
          <w:tcPr>
            <w:tcW w:w="7620" w:type="dxa"/>
          </w:tcPr>
          <w:p w14:paraId="70A174E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rPr>
                <w:rStyle w:val="InstructionsTabelleberschrift"/>
                <w:rFonts w:ascii="Times New Roman" w:hAnsi="Times New Roman"/>
                <w:sz w:val="24"/>
              </w:rPr>
              <w:tab/>
              <w:t xml:space="preserve">(-) Tosiasialliset tai ehdolliset velvoitteet </w:t>
            </w:r>
            <w:proofErr w:type="gramStart"/>
            <w:r>
              <w:rPr>
                <w:rStyle w:val="InstructionsTabelleberschrift"/>
                <w:rFonts w:ascii="Times New Roman" w:hAnsi="Times New Roman"/>
                <w:sz w:val="24"/>
              </w:rPr>
              <w:t>ostaa</w:t>
            </w:r>
            <w:proofErr w:type="gramEnd"/>
            <w:r>
              <w:rPr>
                <w:rStyle w:val="InstructionsTabelleberschrift"/>
                <w:rFonts w:ascii="Times New Roman" w:hAnsi="Times New Roman"/>
                <w:sz w:val="24"/>
              </w:rPr>
              <w:t xml:space="preserve"> omat ydinpääoman (CET1) instrumentit</w:t>
            </w:r>
          </w:p>
          <w:p w14:paraId="7D0F7B5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36 artiklan 1 kohdan f alakohta ja 42 artikla</w:t>
            </w:r>
          </w:p>
          <w:p w14:paraId="55FBB150" w14:textId="77777777" w:rsidR="00CC7D2C" w:rsidRPr="002A677E" w:rsidRDefault="00CC7D2C" w:rsidP="00320EFD">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Asetuksen (EU) N:o 575/2013 36 artiklan 1 kohdan f alakohdan mukaan</w:t>
            </w:r>
            <w:r>
              <w:t xml:space="preserve"> ”sellaiset omat ydinpääoman instrumentit, jotka laitos on tosiasiallisesti tai ehdollisesti velvollinen ostamaan olemassa olevan sopimusvelvoitteen mukaisesti”, on vähennettävä.</w:t>
            </w:r>
          </w:p>
        </w:tc>
      </w:tr>
      <w:tr w:rsidR="00CC7D2C" w:rsidRPr="002A677E" w14:paraId="436677FF" w14:textId="77777777" w:rsidTr="00822842">
        <w:tc>
          <w:tcPr>
            <w:tcW w:w="1129" w:type="dxa"/>
          </w:tcPr>
          <w:p w14:paraId="09DBFD3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578DA54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rPr>
                <w:rStyle w:val="InstructionsTabelleberschrift"/>
                <w:rFonts w:ascii="Times New Roman" w:hAnsi="Times New Roman"/>
                <w:sz w:val="24"/>
              </w:rPr>
              <w:tab/>
              <w:t>Kertyneet voittovarat</w:t>
            </w:r>
          </w:p>
          <w:p w14:paraId="7009A7FF"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26 artiklan 1 kohdan c alakohta ja 26 artiklan 2 kohta</w:t>
            </w:r>
          </w:p>
          <w:p w14:paraId="3D7EC55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Kertyneisiin voittovaroihin sisällytetään edellisen vuoden aikana kertyneet voitot sekä hyväksyttävät kesken tilikauden tai tilikauden päätteeksi kertyneet voitot.</w:t>
            </w:r>
          </w:p>
        </w:tc>
      </w:tr>
      <w:tr w:rsidR="00CC7D2C" w:rsidRPr="002A677E" w14:paraId="0301CE75" w14:textId="77777777" w:rsidTr="00822842">
        <w:tc>
          <w:tcPr>
            <w:tcW w:w="1129" w:type="dxa"/>
          </w:tcPr>
          <w:p w14:paraId="4D164B1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6B4BF9A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rPr>
                <w:rStyle w:val="InstructionsTabelleberschrift"/>
                <w:rFonts w:ascii="Times New Roman" w:hAnsi="Times New Roman"/>
                <w:sz w:val="24"/>
              </w:rPr>
              <w:tab/>
              <w:t>Edellisvuosien kertyneet voittovarat</w:t>
            </w:r>
          </w:p>
          <w:p w14:paraId="5CB4D03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Asetuksen (EU) N:o 575/2013 4 artiklan 1 kohdan 123 alakohta ja 26 artiklan 1 kohdan c alakohta</w:t>
            </w:r>
          </w:p>
          <w:p w14:paraId="1FA473F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 artiklan 1 kohdan 123 alakohdassa tarkoitetaan kertyneillä voittovaroilla ”edellisten tilikausien lopullisen tuloksen käsittelyn yhteydessä syntyneitä voittoja ja tappioita sovellettavan tilinpäätössäännöstön mukaisesti”.</w:t>
            </w:r>
          </w:p>
        </w:tc>
      </w:tr>
      <w:tr w:rsidR="00CC7D2C" w:rsidRPr="002A677E" w14:paraId="5EACCF4C" w14:textId="77777777" w:rsidTr="00822842">
        <w:tc>
          <w:tcPr>
            <w:tcW w:w="1129" w:type="dxa"/>
          </w:tcPr>
          <w:p w14:paraId="775A1E6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0150</w:t>
            </w:r>
          </w:p>
        </w:tc>
        <w:tc>
          <w:tcPr>
            <w:tcW w:w="7620" w:type="dxa"/>
          </w:tcPr>
          <w:p w14:paraId="574DC66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rPr>
                <w:rStyle w:val="InstructionsTabelleberschrift"/>
                <w:rFonts w:ascii="Times New Roman" w:hAnsi="Times New Roman"/>
                <w:sz w:val="24"/>
              </w:rPr>
              <w:tab/>
              <w:t>Hyväksyttävät voitot tai tappiot</w:t>
            </w:r>
          </w:p>
          <w:p w14:paraId="5DC0BAE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 artiklan 1 kohdan 121 alakohta, 26 artiklan 2 kohta ja 36 artiklan 1 kohdan a alakohta</w:t>
            </w:r>
          </w:p>
          <w:p w14:paraId="45CE075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Asetuksen (EU) N:o 575/2013 26 artiklan 2 kohdassa sallitaan kesken tilikauden tai tilikauden päätteeksi kertyneiden voittojen sisällyttäminen kertyneisiin voittovaroihin toimivaltaisten viranomaisten etukäteisellä luvalla, mikäli tietyt ehdot täyttyvät. </w:t>
            </w:r>
          </w:p>
          <w:p w14:paraId="0BFC073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Toisaalta tappiot on vähennettävä ydinpääomasta (CET1), kuten asetuksen (EU) N:o 575/2013 36 artiklan 1 kohdan a alakohdassa todetaan.</w:t>
            </w:r>
          </w:p>
        </w:tc>
      </w:tr>
      <w:tr w:rsidR="00CC7D2C" w:rsidRPr="002A677E" w14:paraId="24BE1C8A" w14:textId="77777777" w:rsidTr="00822842">
        <w:tc>
          <w:tcPr>
            <w:tcW w:w="1129" w:type="dxa"/>
          </w:tcPr>
          <w:p w14:paraId="2699710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6792BC6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rPr>
                <w:rStyle w:val="InstructionsTabelleberschrift"/>
                <w:rFonts w:ascii="Times New Roman" w:hAnsi="Times New Roman"/>
                <w:sz w:val="24"/>
              </w:rPr>
              <w:tab/>
              <w:t>Emoyrityksen omistajille osoitettava voitto tai tappio</w:t>
            </w:r>
          </w:p>
          <w:p w14:paraId="03530D4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26 artiklan 2 kohta ja 36 artiklan 1 kohdan a alakohta</w:t>
            </w:r>
          </w:p>
          <w:p w14:paraId="2431C77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 määrä on tilinpäätöksen tuloslaskelmassa ilmoitettu voitto tai tappio.</w:t>
            </w:r>
          </w:p>
        </w:tc>
      </w:tr>
      <w:tr w:rsidR="00CC7D2C" w:rsidRPr="002A677E" w14:paraId="62BE66ED" w14:textId="77777777" w:rsidTr="00822842">
        <w:tc>
          <w:tcPr>
            <w:tcW w:w="1129" w:type="dxa"/>
          </w:tcPr>
          <w:p w14:paraId="2C59B1B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14:paraId="0803ED0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rPr>
                <w:rStyle w:val="InstructionsTabelleberschrift"/>
                <w:rFonts w:ascii="Times New Roman" w:hAnsi="Times New Roman"/>
                <w:sz w:val="24"/>
              </w:rPr>
              <w:tab/>
              <w:t>(-) Ei-hyväksyttävä osuus kesken tilikauden tai tilikauden päätteeksi kertyneistä voitoista</w:t>
            </w:r>
          </w:p>
          <w:p w14:paraId="19A847A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26 artiklan 2 kohta</w:t>
            </w:r>
          </w:p>
          <w:p w14:paraId="67D1E16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Tälle riville ei merkitä mitään lukua, jos laitos on ilmoittanut viitekaudelta tappioita, sillä tappiot vähennetään kokonaan ydinpääomasta (CET1).</w:t>
            </w:r>
          </w:p>
          <w:p w14:paraId="79C02EE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Jos laitos ilmoittaa voittoja, ilmoitetaan se osa voitoista, jota ei voida hyväksyä asetuksen (EU) N:o 575/2013 26 artiklan 2 kohdan mukaisesti (eli voitot, joita ei ole tilintarkastettu, ja ennakoitavissa olevat kulut tai osingot).</w:t>
            </w:r>
          </w:p>
          <w:p w14:paraId="5CD4975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Huomattakoon, että kun voittoja ilmoitetaan, vähennettävään määrään on sisällytettävä ainakin väliosingot.</w:t>
            </w:r>
          </w:p>
        </w:tc>
      </w:tr>
      <w:tr w:rsidR="00CC7D2C" w:rsidRPr="002A677E" w14:paraId="6CB8B9D2" w14:textId="77777777" w:rsidTr="00822842">
        <w:tc>
          <w:tcPr>
            <w:tcW w:w="1129" w:type="dxa"/>
          </w:tcPr>
          <w:p w14:paraId="3D7F842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Pr>
          <w:p w14:paraId="5FFD1E16"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rPr>
                <w:rStyle w:val="InstructionsTabelleberschrift"/>
                <w:rFonts w:ascii="Times New Roman" w:hAnsi="Times New Roman"/>
                <w:sz w:val="24"/>
              </w:rPr>
              <w:tab/>
              <w:t>Kertyneet muun laajan tuloksen erät</w:t>
            </w:r>
          </w:p>
          <w:p w14:paraId="0C78170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 artiklan 1 kohdan 100 alakohta ja 26 artiklan 1 kohdan d alakohta</w:t>
            </w:r>
          </w:p>
          <w:p w14:paraId="761708C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Määrä ilmoitetaan siten, että siitä on vähennetty laskentahetkellä odotettavissa olevat verot, ja se lasketaan ennen omiin varoihin sovellettavien suodattimien käyttöä. Ilmoitettava määrä on määritettävä komission delegoidun asetuksen (EU) N:o 241/2014 13 artiklan 4 kohdan mukaisesti. </w:t>
            </w:r>
          </w:p>
        </w:tc>
      </w:tr>
      <w:tr w:rsidR="00CC7D2C" w:rsidRPr="002A677E" w14:paraId="3D120A71" w14:textId="77777777" w:rsidTr="00822842">
        <w:tc>
          <w:tcPr>
            <w:tcW w:w="1129" w:type="dxa"/>
          </w:tcPr>
          <w:p w14:paraId="05BD8D2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53DBC46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rPr>
                <w:rStyle w:val="InstructionsTabelleberschrift"/>
                <w:rFonts w:ascii="Times New Roman" w:hAnsi="Times New Roman"/>
                <w:sz w:val="24"/>
              </w:rPr>
              <w:tab/>
              <w:t>Muut rahastot</w:t>
            </w:r>
          </w:p>
          <w:p w14:paraId="3109F9E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Asetuksen (EU) N:o 575/2013 4 artiklan 1 kohdan 117 alakohta ja 26 artiklan 1 kohdan e alakohta</w:t>
            </w:r>
          </w:p>
          <w:p w14:paraId="66C5215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Muilla rahastoilla tarkoitetaan asetuksessa (EU) N:o 575/2013 ”sovellettavassa tilinpäätössäännöstössä tarkoitettuja rahastoja, jotka on esitettävä sovellettavan tilinpäätösstandardin mukaisesti, lukuun ottamatta kuitenkaan eriä, jotka on jo sisällytetty kertyneisiin muun laajan tuloksen eriin tai kertyneisiin voittovaroihin”.</w:t>
            </w:r>
          </w:p>
          <w:p w14:paraId="339D855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Määrä ilmoitetaan siten, että siitä on vähennetty laskentahetkellä odotettavissa olevat verot.</w:t>
            </w:r>
          </w:p>
        </w:tc>
      </w:tr>
      <w:tr w:rsidR="00CC7D2C" w:rsidRPr="002A677E" w14:paraId="5723D0B6" w14:textId="77777777" w:rsidTr="00822842">
        <w:tc>
          <w:tcPr>
            <w:tcW w:w="1129" w:type="dxa"/>
          </w:tcPr>
          <w:p w14:paraId="782759B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0210</w:t>
            </w:r>
          </w:p>
        </w:tc>
        <w:tc>
          <w:tcPr>
            <w:tcW w:w="7620" w:type="dxa"/>
          </w:tcPr>
          <w:p w14:paraId="18AA3C1E"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rPr>
                <w:rStyle w:val="InstructionsTabelleberschrift"/>
                <w:rFonts w:ascii="Times New Roman" w:hAnsi="Times New Roman"/>
                <w:sz w:val="24"/>
              </w:rPr>
              <w:tab/>
              <w:t>Yleisten pankkiriskien rahastot</w:t>
            </w:r>
          </w:p>
          <w:p w14:paraId="55D1150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 artiklan 1 kohdan 112 alakohta ja 26 artiklan 1 kohdan f alakohta</w:t>
            </w:r>
          </w:p>
          <w:p w14:paraId="511F937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Yleisten pankkiriskien rahastoilla tarkoitetaan neuvoston direktiivin 86/635/ETY 38 artiklassa ”niitä summia, jotka luottolaitos päättää panna syrjään sellaisten riskien kattamiseksi, kun tämä pankkitoimintaan liittyvien erityisriskien vuoksi on tarpeen”.</w:t>
            </w:r>
          </w:p>
          <w:p w14:paraId="436A113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Määrä ilmoitetaan siten, että siitä on vähennetty laskentahetkellä odotettavissa olevat verot.</w:t>
            </w:r>
          </w:p>
        </w:tc>
      </w:tr>
      <w:tr w:rsidR="00CC7D2C" w:rsidRPr="002A677E" w14:paraId="0A15B59E" w14:textId="77777777" w:rsidTr="00822842">
        <w:tc>
          <w:tcPr>
            <w:tcW w:w="1129" w:type="dxa"/>
          </w:tcPr>
          <w:p w14:paraId="140AAC8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7888E19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rPr>
                <w:rStyle w:val="InstructionsTabelleberschrift"/>
                <w:rFonts w:ascii="Times New Roman" w:hAnsi="Times New Roman"/>
                <w:sz w:val="24"/>
              </w:rPr>
              <w:tab/>
              <w:t>Määräajaksi vapautetuista ydinpääoman (CET1) instrumenteista aiheutuvat siirtymäkauden oikaisut</w:t>
            </w:r>
          </w:p>
          <w:p w14:paraId="36448E4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483 artiklan 1, 2 j 3 kohta ja 484–487 artikla</w:t>
            </w:r>
          </w:p>
          <w:p w14:paraId="7F12AA2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Kohtaan sisällytetään niiden pääomainstrumenttien määrä, jotka on siirtymäkauden aikana vapautettu määräajaksi uusista säännöksistä ydinpääomana (CET1). Ilmoitettava määrä saadaan suoraan CA5-lomakkeesta.</w:t>
            </w:r>
          </w:p>
        </w:tc>
      </w:tr>
      <w:tr w:rsidR="00CC7D2C" w:rsidRPr="002A677E" w14:paraId="577B3C1C" w14:textId="77777777" w:rsidTr="00822842">
        <w:tc>
          <w:tcPr>
            <w:tcW w:w="1129" w:type="dxa"/>
          </w:tcPr>
          <w:p w14:paraId="7DE52B2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5BB5D00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rPr>
                <w:rStyle w:val="InstructionsTabelleberschrift"/>
                <w:rFonts w:ascii="Times New Roman" w:hAnsi="Times New Roman"/>
                <w:sz w:val="24"/>
              </w:rPr>
              <w:tab/>
              <w:t>Ydinpääomaan (CET1) sisällytetyt vähemmistöosuudet</w:t>
            </w:r>
          </w:p>
          <w:p w14:paraId="68F9D05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 artiklan 1 kohdan 120 alakohta ja 84 artikla</w:t>
            </w:r>
          </w:p>
          <w:p w14:paraId="52BA7DD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tytäryritysten vähemmistöosuuksien kaikkien sellaisten määrien summaa, jotka sisältyvät konsolidoituun ydinpääomaan (CET1).</w:t>
            </w:r>
          </w:p>
        </w:tc>
      </w:tr>
      <w:tr w:rsidR="00CC7D2C" w:rsidRPr="002A677E" w14:paraId="645343D9" w14:textId="77777777" w:rsidTr="00822842">
        <w:tc>
          <w:tcPr>
            <w:tcW w:w="1129" w:type="dxa"/>
          </w:tcPr>
          <w:p w14:paraId="2DBDDA2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0" w:type="dxa"/>
          </w:tcPr>
          <w:p w14:paraId="6768190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rPr>
                <w:rStyle w:val="InstructionsTabelleberschrift"/>
                <w:rFonts w:ascii="Times New Roman" w:hAnsi="Times New Roman"/>
                <w:sz w:val="24"/>
              </w:rPr>
              <w:tab/>
              <w:t>Muista vähemmistöosuuksista aiheutuvat siirtymäkauden oikaisut</w:t>
            </w:r>
          </w:p>
          <w:p w14:paraId="1F945D1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479 ja 480 artikla</w:t>
            </w:r>
          </w:p>
          <w:p w14:paraId="19C2E18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ilmoitetaan siirtymäsäännöksistä aiheutuvat vähemmistöosuuksien oikaisut. Tämä erä saadaan suoraan CA5-lomakkeesta.</w:t>
            </w:r>
          </w:p>
        </w:tc>
      </w:tr>
      <w:tr w:rsidR="00CC7D2C" w:rsidRPr="002A677E" w14:paraId="19432E87" w14:textId="77777777" w:rsidTr="00822842">
        <w:tc>
          <w:tcPr>
            <w:tcW w:w="1129" w:type="dxa"/>
          </w:tcPr>
          <w:p w14:paraId="695EB81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14:paraId="71C8550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rPr>
                <w:rStyle w:val="InstructionsTabelleberschrift"/>
                <w:rFonts w:ascii="Times New Roman" w:hAnsi="Times New Roman"/>
                <w:sz w:val="24"/>
              </w:rPr>
              <w:tab/>
              <w:t>Omiin varoihin sovellettavista suodattimista aiheutuvat ydinpääoman (CET1) oikaisut</w:t>
            </w:r>
          </w:p>
          <w:p w14:paraId="2D72696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32–35 artikla</w:t>
            </w:r>
            <w:r>
              <w:t xml:space="preserve"> </w:t>
            </w:r>
          </w:p>
        </w:tc>
      </w:tr>
      <w:tr w:rsidR="00CC7D2C" w:rsidRPr="002A677E" w14:paraId="2F2D7907" w14:textId="77777777" w:rsidTr="00822842">
        <w:tc>
          <w:tcPr>
            <w:tcW w:w="1129" w:type="dxa"/>
          </w:tcPr>
          <w:p w14:paraId="415C9FC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196B3C2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rPr>
                <w:rStyle w:val="InstructionsTabelleberschrift"/>
                <w:rFonts w:ascii="Times New Roman" w:hAnsi="Times New Roman"/>
                <w:sz w:val="24"/>
              </w:rPr>
              <w:tab/>
              <w:t xml:space="preserve">(-) </w:t>
            </w:r>
            <w:proofErr w:type="spellStart"/>
            <w:r>
              <w:rPr>
                <w:rStyle w:val="InstructionsTabelleberschrift"/>
                <w:rFonts w:ascii="Times New Roman" w:hAnsi="Times New Roman"/>
                <w:sz w:val="24"/>
              </w:rPr>
              <w:t>Arvopaperistetuista</w:t>
            </w:r>
            <w:proofErr w:type="spellEnd"/>
            <w:r>
              <w:rPr>
                <w:rStyle w:val="InstructionsTabelleberschrift"/>
                <w:rFonts w:ascii="Times New Roman" w:hAnsi="Times New Roman"/>
                <w:sz w:val="24"/>
              </w:rPr>
              <w:t xml:space="preserve"> omaisuuseristä aiheutuvat oman pääoman lisäykset</w:t>
            </w:r>
          </w:p>
          <w:p w14:paraId="41EEDB3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Asetuksen (EU) N:o 575/2013 32 artiklan 1 kohta</w:t>
            </w:r>
          </w:p>
          <w:p w14:paraId="035B9D6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Ilmoitettava määrä on sovellettavan tilinpäätössäännöstön mukainen laitoksen oman pääoman lisäys, joka johtuu </w:t>
            </w:r>
            <w:proofErr w:type="spellStart"/>
            <w:r>
              <w:rPr>
                <w:rStyle w:val="FormatvorlageInstructionsTabelleText"/>
                <w:rFonts w:ascii="Times New Roman" w:hAnsi="Times New Roman"/>
                <w:sz w:val="24"/>
              </w:rPr>
              <w:t>arvopaperistetuista</w:t>
            </w:r>
            <w:proofErr w:type="spellEnd"/>
            <w:r>
              <w:rPr>
                <w:rStyle w:val="FormatvorlageInstructionsTabelleText"/>
                <w:rFonts w:ascii="Times New Roman" w:hAnsi="Times New Roman"/>
                <w:sz w:val="24"/>
              </w:rPr>
              <w:t xml:space="preserve"> omaisuuseristä.</w:t>
            </w:r>
          </w:p>
          <w:p w14:paraId="6CB3220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Tähän erään sisällytetään esimerkiksi tuleva marginaalitulo, joka tuottaa laitokselle myyntivoittoa, tai </w:t>
            </w:r>
            <w:proofErr w:type="spellStart"/>
            <w:r>
              <w:rPr>
                <w:rStyle w:val="FormatvorlageInstructionsTabelleText"/>
                <w:rFonts w:ascii="Times New Roman" w:hAnsi="Times New Roman"/>
                <w:sz w:val="24"/>
              </w:rPr>
              <w:t>arvopaperistamisen</w:t>
            </w:r>
            <w:proofErr w:type="spellEnd"/>
            <w:r>
              <w:rPr>
                <w:rStyle w:val="FormatvorlageInstructionsTabelleText"/>
                <w:rFonts w:ascii="Times New Roman" w:hAnsi="Times New Roman"/>
                <w:sz w:val="24"/>
              </w:rPr>
              <w:t xml:space="preserve"> alullepanijoiden tapauksessa </w:t>
            </w:r>
            <w:proofErr w:type="spellStart"/>
            <w:r>
              <w:rPr>
                <w:rStyle w:val="FormatvorlageInstructionsTabelleText"/>
                <w:rFonts w:ascii="Times New Roman" w:hAnsi="Times New Roman"/>
                <w:sz w:val="24"/>
              </w:rPr>
              <w:t>arvopaperistettujen</w:t>
            </w:r>
            <w:proofErr w:type="spellEnd"/>
            <w:r>
              <w:rPr>
                <w:rStyle w:val="FormatvorlageInstructionsTabelleText"/>
                <w:rFonts w:ascii="Times New Roman" w:hAnsi="Times New Roman"/>
                <w:sz w:val="24"/>
              </w:rPr>
              <w:t xml:space="preserve"> omaisuuserien ennakoitujen tulojen aktivoinnista saadut nettovoitot, jotka tarjoavat erillisen turvan </w:t>
            </w:r>
            <w:proofErr w:type="spellStart"/>
            <w:r>
              <w:rPr>
                <w:rStyle w:val="FormatvorlageInstructionsTabelleText"/>
                <w:rFonts w:ascii="Times New Roman" w:hAnsi="Times New Roman"/>
                <w:sz w:val="24"/>
              </w:rPr>
              <w:t>arvopaperistetuille</w:t>
            </w:r>
            <w:proofErr w:type="spellEnd"/>
            <w:r>
              <w:rPr>
                <w:rStyle w:val="FormatvorlageInstructionsTabelleText"/>
                <w:rFonts w:ascii="Times New Roman" w:hAnsi="Times New Roman"/>
                <w:sz w:val="24"/>
              </w:rPr>
              <w:t xml:space="preserve"> omaisuuserille.</w:t>
            </w:r>
          </w:p>
        </w:tc>
      </w:tr>
      <w:tr w:rsidR="00CC7D2C" w:rsidRPr="002A677E" w14:paraId="5EC409A3" w14:textId="77777777" w:rsidTr="00822842">
        <w:tc>
          <w:tcPr>
            <w:tcW w:w="1129" w:type="dxa"/>
          </w:tcPr>
          <w:p w14:paraId="7E88DF9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0270</w:t>
            </w:r>
          </w:p>
        </w:tc>
        <w:tc>
          <w:tcPr>
            <w:tcW w:w="7620" w:type="dxa"/>
          </w:tcPr>
          <w:p w14:paraId="63F6090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rPr>
                <w:rStyle w:val="InstructionsTabelleberschrift"/>
                <w:rFonts w:ascii="Times New Roman" w:hAnsi="Times New Roman"/>
                <w:sz w:val="24"/>
              </w:rPr>
              <w:tab/>
              <w:t>Rahavirran suojaus</w:t>
            </w:r>
          </w:p>
          <w:p w14:paraId="70C550D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33 artiklan 1 kohdan a alakohta.</w:t>
            </w:r>
          </w:p>
          <w:p w14:paraId="5CBB5F9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 määrä voi olla positiivinen tai negatiivinen. Määrä on positiivinen, jos rahavirtojen suojauksista syntyy tappiota (eli jos tämä pienentää omaa pääomaa), ja päinvastoin. Näin ollen lukua edeltävä merkki on päinvastainen kuin kirjanpitolaskelmissa.</w:t>
            </w:r>
          </w:p>
          <w:p w14:paraId="1B4FC84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Määrästä vähennetään laskentahetkellä odotettavissa olevat verot.</w:t>
            </w:r>
          </w:p>
        </w:tc>
      </w:tr>
      <w:tr w:rsidR="00CC7D2C" w:rsidRPr="002A677E" w14:paraId="284D2AD3" w14:textId="77777777" w:rsidTr="00822842">
        <w:tc>
          <w:tcPr>
            <w:tcW w:w="1129" w:type="dxa"/>
          </w:tcPr>
          <w:p w14:paraId="21B29FF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5CB0645B"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rPr>
                <w:rStyle w:val="InstructionsTabelleberschrift"/>
                <w:rFonts w:ascii="Times New Roman" w:hAnsi="Times New Roman"/>
                <w:sz w:val="24"/>
              </w:rPr>
              <w:tab/>
              <w:t>Käypään arvoon arvostettuihin velkoihin liittyviä omia luottoriskejä koskevista muutoksista aiheutuvat kumulatiiviset voitot ja tappiot</w:t>
            </w:r>
          </w:p>
          <w:p w14:paraId="7606E0C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33 artiklan 1 kohdan b alakohta.</w:t>
            </w:r>
          </w:p>
          <w:p w14:paraId="00EA3DD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 määrä voi olla positiivinen tai negatiivinen. Määrä on positiivinen, jos oman luottoriskin muutoksista on aiheutunut tappiota (eli jos tämä pienentää omaa pääomaa), ja päinvastoin. Näin ollen lukua edeltävä merkki on päinvastainen kuin kirjanpitolaskelmissa.</w:t>
            </w:r>
          </w:p>
          <w:p w14:paraId="3552106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Tilintarkastamatonta voittoa ei sisällytetä tähän erään.</w:t>
            </w:r>
          </w:p>
        </w:tc>
      </w:tr>
      <w:tr w:rsidR="00CC7D2C" w:rsidRPr="002A677E" w14:paraId="6CC52A02" w14:textId="77777777" w:rsidTr="00822842">
        <w:tc>
          <w:tcPr>
            <w:tcW w:w="1129" w:type="dxa"/>
          </w:tcPr>
          <w:p w14:paraId="33709DF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14:paraId="026986A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rPr>
                <w:rStyle w:val="InstructionsTabelleberschrift"/>
                <w:rFonts w:ascii="Times New Roman" w:hAnsi="Times New Roman"/>
                <w:sz w:val="24"/>
              </w:rPr>
              <w:tab/>
              <w:t>Käypään arvoon arvostetut voitot ja tappiot, jotka aiheutuvat johdannaisvelkoihin liittyvästä laitoksen omasta luottoriskistä</w:t>
            </w:r>
          </w:p>
          <w:p w14:paraId="255F9C6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33 artiklan 1 kohdan c alakohta ja 33 artiklan 2 kohta</w:t>
            </w:r>
          </w:p>
          <w:p w14:paraId="60001AE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 määrä voi olla positiivinen tai negatiivinen. Määrä on positiivinen, jos oman luottoriskin muutoksista on aiheutunut tappiota, ja päinvastoin. Näin ollen lukua edeltävä merkki on päinvastainen kuin kirjanpitolaskelmissa.</w:t>
            </w:r>
          </w:p>
          <w:p w14:paraId="7F153CA9"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Tilintarkastamatonta voittoa ei sisällytetä tähän erään.</w:t>
            </w:r>
          </w:p>
        </w:tc>
      </w:tr>
      <w:tr w:rsidR="00CC7D2C" w:rsidRPr="002A677E" w14:paraId="0620E497" w14:textId="77777777" w:rsidTr="00822842">
        <w:tc>
          <w:tcPr>
            <w:tcW w:w="1129" w:type="dxa"/>
          </w:tcPr>
          <w:p w14:paraId="62E9906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35568F9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rPr>
                <w:rStyle w:val="InstructionsTabelleberschrift"/>
                <w:rFonts w:ascii="Times New Roman" w:hAnsi="Times New Roman"/>
                <w:sz w:val="24"/>
              </w:rPr>
              <w:tab/>
              <w:t>(-) Varovaista arvostamista koskevista vaatimuksista aiheutuvat arvonoikaisut</w:t>
            </w:r>
          </w:p>
          <w:p w14:paraId="54D0A16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34 ja 105 artikla</w:t>
            </w:r>
          </w:p>
          <w:p w14:paraId="62CDA43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Tähän sisällytetään kaupankäyntivarastoon kuuluvien tai kuulumattomien vastuiden käyvän arvon oikaisut, jotka aiheutuvat asetuksen (EU) N:o 575/2013 105 artiklassa asetetuista tiukemmista varovaista arvostamista koskevista vaatimuksista.</w:t>
            </w:r>
          </w:p>
        </w:tc>
      </w:tr>
      <w:tr w:rsidR="00CC7D2C" w:rsidRPr="002A677E" w14:paraId="689618FB" w14:textId="77777777" w:rsidTr="00822842">
        <w:tc>
          <w:tcPr>
            <w:tcW w:w="1129" w:type="dxa"/>
          </w:tcPr>
          <w:p w14:paraId="36EE20D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0300</w:t>
            </w:r>
          </w:p>
        </w:tc>
        <w:tc>
          <w:tcPr>
            <w:tcW w:w="7620" w:type="dxa"/>
          </w:tcPr>
          <w:p w14:paraId="686EA37B"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rPr>
                <w:rStyle w:val="InstructionsTabelleberschrift"/>
                <w:rFonts w:ascii="Times New Roman" w:hAnsi="Times New Roman"/>
                <w:sz w:val="24"/>
              </w:rPr>
              <w:tab/>
              <w:t>(-) Liikearvo</w:t>
            </w:r>
          </w:p>
          <w:p w14:paraId="77829B8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 artiklan 1 kohdan 113 alakohta, 36 artiklan 1 kohdan b alakohta ja 37 artikla</w:t>
            </w:r>
          </w:p>
        </w:tc>
      </w:tr>
      <w:tr w:rsidR="00CC7D2C" w:rsidRPr="002A677E" w14:paraId="4EE59EA3" w14:textId="77777777" w:rsidTr="00822842">
        <w:tc>
          <w:tcPr>
            <w:tcW w:w="1129" w:type="dxa"/>
          </w:tcPr>
          <w:p w14:paraId="61494E3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5449950D"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rPr>
                <w:rStyle w:val="InstructionsTabelleberschrift"/>
                <w:rFonts w:ascii="Times New Roman" w:hAnsi="Times New Roman"/>
                <w:sz w:val="24"/>
              </w:rPr>
              <w:tab/>
              <w:t>(-) Aineettomiin hyödykkeisiin laskettava liikearvo</w:t>
            </w:r>
          </w:p>
          <w:p w14:paraId="25E7F91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 artiklan 1 kohdan 113 alakohta ja 36 artiklan 1 kohdan b alakohta</w:t>
            </w:r>
          </w:p>
          <w:p w14:paraId="4F4C2B1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Liikearvolla tarkoitetaan samaa kuin sovellettavassa tilinpäätössäännöstössä.</w:t>
            </w:r>
          </w:p>
          <w:p w14:paraId="381D161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ilmoitettava määrä on sama kuin taseessa ilmoitettava määrä.</w:t>
            </w:r>
          </w:p>
        </w:tc>
      </w:tr>
      <w:tr w:rsidR="00CC7D2C" w:rsidRPr="002A677E" w14:paraId="07B42061" w14:textId="77777777" w:rsidTr="00822842">
        <w:tc>
          <w:tcPr>
            <w:tcW w:w="1129" w:type="dxa"/>
          </w:tcPr>
          <w:p w14:paraId="5A03C01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5CECE2E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rPr>
                <w:rStyle w:val="InstructionsTabelleberschrift"/>
                <w:rFonts w:ascii="Times New Roman" w:hAnsi="Times New Roman"/>
                <w:sz w:val="24"/>
              </w:rPr>
              <w:tab/>
              <w:t>(-) Merkittävien sijoitusten arvostukseen sisältyvä liikearvo</w:t>
            </w:r>
          </w:p>
          <w:p w14:paraId="06C9D31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37 artiklan b alakohta ja 43 artikla</w:t>
            </w:r>
          </w:p>
        </w:tc>
      </w:tr>
      <w:tr w:rsidR="00CC7D2C" w:rsidRPr="002A677E" w14:paraId="2C686AE1" w14:textId="77777777" w:rsidTr="00822842">
        <w:tc>
          <w:tcPr>
            <w:tcW w:w="1129" w:type="dxa"/>
          </w:tcPr>
          <w:p w14:paraId="244AE8D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68D3D53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rPr>
                <w:rStyle w:val="InstructionsTabelleberschrift"/>
                <w:rFonts w:ascii="Times New Roman" w:hAnsi="Times New Roman"/>
                <w:sz w:val="24"/>
              </w:rPr>
              <w:tab/>
              <w:t>Liikearvoon liittyvät laskennalliset verovelat</w:t>
            </w:r>
          </w:p>
          <w:p w14:paraId="21A6F5D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37 artiklan a alakohta.</w:t>
            </w:r>
          </w:p>
          <w:p w14:paraId="1D32440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ilmoitetaan sellaisten laskennallisten verovelkojen määrä, jotka mitätöityisivät, jos liikearvo alenisi tai jos se kirjattaisiin pois taseesta sovellettavan tilinpäätössäännöstön mukaisesti.</w:t>
            </w:r>
          </w:p>
        </w:tc>
      </w:tr>
      <w:tr w:rsidR="00CC7D2C" w:rsidRPr="002A677E" w14:paraId="4EF2E6CA" w14:textId="77777777" w:rsidTr="00822842">
        <w:tc>
          <w:tcPr>
            <w:tcW w:w="1129" w:type="dxa"/>
          </w:tcPr>
          <w:p w14:paraId="3CD9054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0335</w:t>
            </w:r>
          </w:p>
        </w:tc>
        <w:tc>
          <w:tcPr>
            <w:tcW w:w="7620" w:type="dxa"/>
          </w:tcPr>
          <w:p w14:paraId="6CABDF2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1.1.1.10.4</w:t>
            </w:r>
            <w:r>
              <w:rPr>
                <w:rStyle w:val="InstructionsTabelleberschrift"/>
                <w:rFonts w:ascii="Times New Roman" w:hAnsi="Times New Roman"/>
                <w:sz w:val="24"/>
              </w:rPr>
              <w:tab/>
              <w:t>Tytäryritysten liikearvon kirjanpidollinen uudelleenarvostus, joka johdetaan tytäryritysten konsolidoinnista ja joka liittyy kolmansiin henkilöihin</w:t>
            </w:r>
          </w:p>
          <w:p w14:paraId="189C2EF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37 artiklan c alakohta.</w:t>
            </w:r>
          </w:p>
          <w:p w14:paraId="3AC266EA"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Tytäryritysten liikearvon kirjanpidollisen uudelleenarvostuksen määrä, joka johdetaan tytäryritysten konsolidoinnista ja joka liittyy muihin henkilöihin kuin ensimmäisen osan II osaston 2 luvun nojalla konsolidoinnin piiriin kuuluviin yrityksiin.</w:t>
            </w:r>
          </w:p>
        </w:tc>
      </w:tr>
      <w:tr w:rsidR="00CC7D2C" w:rsidRPr="002A677E" w14:paraId="7744B572" w14:textId="77777777" w:rsidTr="00822842">
        <w:tc>
          <w:tcPr>
            <w:tcW w:w="1129" w:type="dxa"/>
          </w:tcPr>
          <w:p w14:paraId="578CADA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4AEF749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rPr>
                <w:rStyle w:val="InstructionsTabelleberschrift"/>
                <w:rFonts w:ascii="Times New Roman" w:hAnsi="Times New Roman"/>
                <w:sz w:val="24"/>
              </w:rPr>
              <w:tab/>
              <w:t>(-) Muut aineettomat hyödykkeet</w:t>
            </w:r>
          </w:p>
          <w:p w14:paraId="5F591EF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 artiklan 1 kohdan 115 alakohta, 36 artiklan 1 kohdan b alakohta ja 37 artiklan a ja c alakohta</w:t>
            </w:r>
          </w:p>
          <w:p w14:paraId="790606E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Muut aineettomat hyödykkeet ovat sovellettavan tilinpäätössäännöstön mukaisia aineettomia hyödykkeitä, joihin ei kuulu sovellettavan tilinpäätössäännöstön mukaista liikearvoa.</w:t>
            </w:r>
          </w:p>
        </w:tc>
      </w:tr>
      <w:tr w:rsidR="00CC7D2C" w:rsidRPr="002A677E" w14:paraId="20D6A288" w14:textId="77777777" w:rsidTr="00822842">
        <w:tc>
          <w:tcPr>
            <w:tcW w:w="1129" w:type="dxa"/>
          </w:tcPr>
          <w:p w14:paraId="21F1C04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526AA3A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rPr>
                <w:rStyle w:val="InstructionsTabelleberschrift"/>
                <w:rFonts w:ascii="Times New Roman" w:hAnsi="Times New Roman"/>
                <w:sz w:val="24"/>
              </w:rPr>
              <w:tab/>
              <w:t>(-) Muut aineettomat hyödykkeet ennen laskennallisten verovelkojen vähentämistä</w:t>
            </w:r>
          </w:p>
          <w:p w14:paraId="6016516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 artiklan 1 kohdan 115 alakohta ja 36 artiklan 1 kohdan b alakohta</w:t>
            </w:r>
          </w:p>
          <w:p w14:paraId="533CEA2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Muut aineettomat hyödykkeet ovat sovellettavan tilinpäätössäännöstön mukaisia aineettomia hyödykkeitä, joihin ei kuulu sovellettavan tilinpäätössäännöstön mukaista liikearvoa.</w:t>
            </w:r>
          </w:p>
          <w:p w14:paraId="62EFB3E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Tässä kohdassa ilmoitettavan määrän on vastattava taseessa ilmoitettua aineettomien hyödykkeiden määrää, johon ei kuulu liikearvoa, ja varovaisesti arvostettujen ohjelmistohyödykkeiden määrää, jota ei </w:t>
            </w:r>
            <w:r>
              <w:rPr>
                <w:rStyle w:val="FormatvorlageInstructionsTabelleText"/>
                <w:rFonts w:ascii="Times New Roman" w:hAnsi="Times New Roman"/>
                <w:sz w:val="24"/>
              </w:rPr>
              <w:lastRenderedPageBreak/>
              <w:t>vähennetä ydinpääomasta (CET1) asetuksen (EU) N:o 575/2013 36 artiklan 1 kohdan b alakohdan mukaisesti.</w:t>
            </w:r>
          </w:p>
        </w:tc>
      </w:tr>
      <w:tr w:rsidR="00CC7D2C" w:rsidRPr="002A677E" w14:paraId="54A3CD6E" w14:textId="77777777" w:rsidTr="00822842">
        <w:tc>
          <w:tcPr>
            <w:tcW w:w="1129" w:type="dxa"/>
          </w:tcPr>
          <w:p w14:paraId="6525F28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0352</w:t>
            </w:r>
          </w:p>
        </w:tc>
        <w:tc>
          <w:tcPr>
            <w:tcW w:w="7620" w:type="dxa"/>
          </w:tcPr>
          <w:p w14:paraId="7BD6FF6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1.1.1.11.1.1 (-) Josta ohjelmistohyödykkeet, jotka lasketaan muiksi aineettomiksi hyödykkeiksi ennen laskennallisten verovelkojen vähentämistä</w:t>
            </w:r>
          </w:p>
          <w:p w14:paraId="02123AF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 artiklan 1 kohdan 115 alakohta ja 36 artiklan 1 kohdan b alakohta</w:t>
            </w:r>
          </w:p>
          <w:p w14:paraId="106CD01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Aineettomiin hyödykkeisiin laskettavat ohjelmistohyödykkeet, jotka vähennetään ydinpääomasta (CET1) asetuksen (EU) N:o 575/2013 36 artiklan 1 kohdan b alakohdan ja delegoidun asetuksen (EU) N:o 241/2014 13 a artiklan mukaisesti.</w:t>
            </w:r>
            <w:r>
              <w:t xml:space="preserve"> </w:t>
            </w:r>
            <w:r>
              <w:rPr>
                <w:rStyle w:val="FormatvorlageInstructionsTabelleText"/>
                <w:rFonts w:ascii="Times New Roman" w:hAnsi="Times New Roman"/>
                <w:sz w:val="24"/>
              </w:rPr>
              <w:t>Ilmoitettavassa määrässä ei oteta huomioon asetuksen (EU) N:o 575/2013 37 artiklan a alakohdassa säädetyn kohtelun soveltamiseen liittyviä vaikutuksia suhteessa kyseisiin ohjelmistohyödykkeisiin liittyviin laskennallisiin verovelkoihin.</w:t>
            </w:r>
          </w:p>
          <w:p w14:paraId="39783C08"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Jos laitos päättää vähentää ohjelmistohyödykkeet täysimääräisesti asetuksen (EU) N:o 575/2013 3 artiklan mukaisesti delegoidun asetuksen (EU) N:o 241/2014 13 a artiklan mukaisen käsittelyn sijaan, tällä rivillä ilmoitettavan määrän on vastattava sovellettavan tilinpäätössäännöstön mukaisesti aineettomiin hyödykkeisiin laskettavien ohjelmistohyödykkeiden määrää.</w:t>
            </w:r>
          </w:p>
        </w:tc>
      </w:tr>
      <w:tr w:rsidR="00CC7D2C" w:rsidRPr="002A677E" w14:paraId="28B86AF5" w14:textId="77777777" w:rsidTr="00822842">
        <w:tc>
          <w:tcPr>
            <w:tcW w:w="1129" w:type="dxa"/>
          </w:tcPr>
          <w:p w14:paraId="2B0CDC9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2777485A"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rPr>
                <w:rStyle w:val="InstructionsTabelleberschrift"/>
                <w:rFonts w:ascii="Times New Roman" w:hAnsi="Times New Roman"/>
                <w:sz w:val="24"/>
              </w:rPr>
              <w:tab/>
              <w:t>Muihin aineettomiin hyödykkeisiin liittyvät laskennalliset verovelat</w:t>
            </w:r>
          </w:p>
          <w:p w14:paraId="261F60B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37 artiklan a alakohta.</w:t>
            </w:r>
          </w:p>
          <w:p w14:paraId="1CCE12E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sellaisten laskennallisten verovelkojen määrää, jotka mitätöityisivät, jos aineettomien hyödykkeiden, joihin ei kuulu liikearvoa ja varovaisesti arvostettuja ohjelmistohyödykkeitä, jota ei tarvitse vähentää ydinpääomasta (CET1) delegoidun asetuksen (EU) N:o 241/2014 13 a artiklan mukaisesti, arvo alenisi tai ne kirjattaisiin pois taseesta sovellettavan tilinpäätössäännöstön mukaisesti.</w:t>
            </w:r>
          </w:p>
        </w:tc>
      </w:tr>
      <w:tr w:rsidR="00CC7D2C" w:rsidRPr="002A677E" w14:paraId="35B2FE40" w14:textId="77777777" w:rsidTr="00822842">
        <w:tc>
          <w:tcPr>
            <w:tcW w:w="1129" w:type="dxa"/>
          </w:tcPr>
          <w:p w14:paraId="45EC0B9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0362</w:t>
            </w:r>
          </w:p>
        </w:tc>
        <w:tc>
          <w:tcPr>
            <w:tcW w:w="7620" w:type="dxa"/>
          </w:tcPr>
          <w:p w14:paraId="0B84E6B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1.1.1.11.2.1</w:t>
            </w:r>
            <w:r>
              <w:rPr>
                <w:rStyle w:val="InstructionsTabelleberschrift"/>
                <w:rFonts w:ascii="Times New Roman" w:hAnsi="Times New Roman"/>
                <w:sz w:val="24"/>
              </w:rPr>
              <w:tab/>
              <w:t>laskennalliset verovelat, jotka liittyvät aineettomiin hyödykkeisiin laskettaviin ohjelmistohyödykkeisiin</w:t>
            </w:r>
          </w:p>
          <w:p w14:paraId="0492B11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37 artiklan a alakohta.</w:t>
            </w:r>
          </w:p>
          <w:p w14:paraId="0A9FF627"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Niiden laskennallisten verovelkojen osuus, jotka liittyvät aineettomiin hyödykkeisiin laskettaviin ohjelmistohyödykkeisiin, jotka vähennetään ydinpääomasta (CET1) asetuksen (EU) N:o 575/2013 36 artiklan 1 kohdan b alakohdan ja delegoidun asetuksen (EU) N:o 241/2014 13 a artiklan tai asetuksen (EU) N:o 575/2013 3 artiklan mukaisesti.</w:t>
            </w:r>
          </w:p>
        </w:tc>
      </w:tr>
      <w:tr w:rsidR="00CC7D2C" w:rsidRPr="002A677E" w14:paraId="70934E08" w14:textId="77777777" w:rsidTr="00822842">
        <w:tc>
          <w:tcPr>
            <w:tcW w:w="1129" w:type="dxa"/>
          </w:tcPr>
          <w:p w14:paraId="2ED0AD0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0365</w:t>
            </w:r>
          </w:p>
        </w:tc>
        <w:tc>
          <w:tcPr>
            <w:tcW w:w="7620" w:type="dxa"/>
          </w:tcPr>
          <w:p w14:paraId="168B905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1.1.1.11.3</w:t>
            </w:r>
            <w:r>
              <w:rPr>
                <w:rStyle w:val="InstructionsTabelleberschrift"/>
                <w:rFonts w:ascii="Times New Roman" w:hAnsi="Times New Roman"/>
                <w:sz w:val="24"/>
              </w:rPr>
              <w:tab/>
              <w:t>Tytäryritysten muiden aineettomien hyödykkeiden kirjanpidollinen uudelleenarvostus, joka johdetaan tytäryritysten konsolidoinnista ja joka liittyy kolmansiin henkilöihin</w:t>
            </w:r>
          </w:p>
          <w:p w14:paraId="032DDB9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37 artiklan c alakohta.</w:t>
            </w:r>
          </w:p>
          <w:p w14:paraId="114DCBE2"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Tytäryritysten muiden aineettomien hyödykkeiden kuin liikearvon kirjanpidollisen uudelleenarvostuksen määrä, joka johdetaan tytäryritysten konsolidoinnista ja joka liittyy muihin henkilöihin kuin </w:t>
            </w:r>
            <w:r>
              <w:rPr>
                <w:rStyle w:val="FormatvorlageInstructionsTabelleText"/>
                <w:rFonts w:ascii="Times New Roman" w:hAnsi="Times New Roman"/>
                <w:sz w:val="24"/>
              </w:rPr>
              <w:lastRenderedPageBreak/>
              <w:t>ensimmäisen osan II osaston 2 luvun nojalla konsolidoinnin piiriin kuuluviin yrityksiin.</w:t>
            </w:r>
          </w:p>
        </w:tc>
      </w:tr>
      <w:tr w:rsidR="00CC7D2C" w:rsidRPr="002A677E" w14:paraId="0BF2A120" w14:textId="77777777" w:rsidTr="00822842">
        <w:tc>
          <w:tcPr>
            <w:tcW w:w="1129" w:type="dxa"/>
          </w:tcPr>
          <w:p w14:paraId="5E256AD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0370</w:t>
            </w:r>
          </w:p>
        </w:tc>
        <w:tc>
          <w:tcPr>
            <w:tcW w:w="7620" w:type="dxa"/>
          </w:tcPr>
          <w:p w14:paraId="5C807D2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rPr>
                <w:rStyle w:val="InstructionsTabelleberschrift"/>
                <w:rFonts w:ascii="Times New Roman" w:hAnsi="Times New Roman"/>
                <w:sz w:val="24"/>
              </w:rPr>
              <w:tab/>
              <w:t>(-) Tulevista veronalaisista voitoista riippuvat laskennalliset verosaamiset, jotka eivät synny väliaikaisten erojen seurauksena ja joista on vähennetty niihin liittyvät verovelat</w:t>
            </w:r>
          </w:p>
          <w:p w14:paraId="484EA3E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36 artiklan 1 kohdan c alakohta ja 38 artikla</w:t>
            </w:r>
          </w:p>
        </w:tc>
      </w:tr>
      <w:tr w:rsidR="00CC7D2C" w:rsidRPr="002A677E" w14:paraId="24CD0FAD" w14:textId="77777777" w:rsidTr="00822842">
        <w:tc>
          <w:tcPr>
            <w:tcW w:w="1129" w:type="dxa"/>
          </w:tcPr>
          <w:p w14:paraId="761BF1A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620" w:type="dxa"/>
          </w:tcPr>
          <w:p w14:paraId="2913B51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rPr>
                <w:rStyle w:val="InstructionsTabelleberschrift"/>
                <w:rFonts w:ascii="Times New Roman" w:hAnsi="Times New Roman"/>
                <w:sz w:val="24"/>
              </w:rPr>
              <w:tab/>
              <w:t>(-) Odotettuihin tappioihin käytettäviin luottoriskin oikaisuihin liittyvä alijäämä (IRB)</w:t>
            </w:r>
          </w:p>
          <w:p w14:paraId="7417308F"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36 artiklan 1 kohdan d alakohta sekä 40, 158 ja 159 artikla.</w:t>
            </w:r>
          </w:p>
          <w:p w14:paraId="38AECBC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Ilmoitettavaa määrää ”ei saa pienentää tulevista veronalaisista voitoista riippuvien laskennallisten verosaamisten määrän lisäyksellä tai muiden ylimääräisten verovaikutusten perusteella, joita voi esiintyä, jos varaukset nousevat samalle tasolle kuin odotetut tappiot” (asetuksen (EU) N:o 575/2013 40 artikla).</w:t>
            </w:r>
          </w:p>
        </w:tc>
      </w:tr>
      <w:tr w:rsidR="00CC7D2C" w:rsidRPr="002A677E" w14:paraId="6B49E9C5" w14:textId="77777777" w:rsidTr="00822842">
        <w:tc>
          <w:tcPr>
            <w:tcW w:w="1129" w:type="dxa"/>
          </w:tcPr>
          <w:p w14:paraId="69DF2D0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620" w:type="dxa"/>
          </w:tcPr>
          <w:p w14:paraId="31CF1C7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rPr>
                <w:rStyle w:val="InstructionsTabelleberschrift"/>
                <w:rFonts w:ascii="Times New Roman" w:hAnsi="Times New Roman"/>
                <w:sz w:val="24"/>
              </w:rPr>
              <w:tab/>
              <w:t>(-) Etuuspohjaisen eläkerahaston varat</w:t>
            </w:r>
          </w:p>
          <w:p w14:paraId="7183E08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 artiklan 1 kohdan 109 alakohta, 36 artiklan 1 kohdan e alakohta ja 41 artikla</w:t>
            </w:r>
          </w:p>
        </w:tc>
      </w:tr>
      <w:tr w:rsidR="00CC7D2C" w:rsidRPr="002A677E" w14:paraId="7BDB1D8B" w14:textId="77777777" w:rsidTr="00822842">
        <w:tc>
          <w:tcPr>
            <w:tcW w:w="1129" w:type="dxa"/>
          </w:tcPr>
          <w:p w14:paraId="0D9A0A1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tcPr>
          <w:p w14:paraId="698251B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rPr>
                <w:rStyle w:val="InstructionsTabelleberschrift"/>
                <w:rFonts w:ascii="Times New Roman" w:hAnsi="Times New Roman"/>
                <w:sz w:val="24"/>
              </w:rPr>
              <w:tab/>
              <w:t xml:space="preserve">(-) Etuuspohjaisen eläkerahaston varat </w:t>
            </w:r>
          </w:p>
          <w:p w14:paraId="47851A1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 artiklan 1 kohdan 109 alakohta ja 36 artiklan 1 kohdan e alakohta</w:t>
            </w:r>
          </w:p>
          <w:p w14:paraId="5846CAE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Etuuspohjaisen eläkerahaston varoilla tarkoitetaan ”tapauksen mukaan etuuspohjaisen eläkerahaston tai -järjestelyn varoja, jotka lasketaan sen jälkeen, kun niistä on vähennetty samaan rahastoon tai järjestelyyn liittyvät velvoitteet”.</w:t>
            </w:r>
          </w:p>
          <w:p w14:paraId="2EE3FFD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kohdassa ilmoitettavan määrän on vastattava taseessa ilmoitettua määrää (jos ne ilmoitetaan erikseen).</w:t>
            </w:r>
          </w:p>
        </w:tc>
      </w:tr>
      <w:tr w:rsidR="00CC7D2C" w:rsidRPr="002A677E" w14:paraId="6670AAD7" w14:textId="77777777" w:rsidTr="00822842">
        <w:tc>
          <w:tcPr>
            <w:tcW w:w="1129" w:type="dxa"/>
          </w:tcPr>
          <w:p w14:paraId="2009450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tcPr>
          <w:p w14:paraId="1EAAB866"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rPr>
                <w:rStyle w:val="InstructionsTabelleberschrift"/>
                <w:rFonts w:ascii="Times New Roman" w:hAnsi="Times New Roman"/>
                <w:sz w:val="24"/>
              </w:rPr>
              <w:tab/>
              <w:t>Etuuspohjaisen eläkerahaston varoihin liittyvät laskennalliset verovelat</w:t>
            </w:r>
          </w:p>
          <w:p w14:paraId="1670EF2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 artiklan 1 kohdan 108 ja 109 alakohta ja 41 artiklan 1 kohdan a alakohta</w:t>
            </w:r>
          </w:p>
          <w:p w14:paraId="0592A92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sellaisten laskennallisten verovelkojen määrää, jotka mitätöityisivät, jos etuuspohjaisen eläkerahaston varojen arvo alenisi tai ne kirjattaisiin pois taseesta sovellettavan tilinpäätössäännöstön mukaisesti.</w:t>
            </w:r>
          </w:p>
        </w:tc>
      </w:tr>
      <w:tr w:rsidR="00CC7D2C" w:rsidRPr="002A677E" w14:paraId="626DD82F" w14:textId="77777777" w:rsidTr="00822842">
        <w:tc>
          <w:tcPr>
            <w:tcW w:w="1129" w:type="dxa"/>
          </w:tcPr>
          <w:p w14:paraId="0B56DA3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tcPr>
          <w:p w14:paraId="1DFF31B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rPr>
                <w:rStyle w:val="InstructionsTabelleberschrift"/>
                <w:rFonts w:ascii="Times New Roman" w:hAnsi="Times New Roman"/>
                <w:sz w:val="24"/>
              </w:rPr>
              <w:tab/>
              <w:t>Etuuspohjaisen eläkerahaston varat, joihin on laitokselle myönnetty oikeus käyttää rajoituksettomasti</w:t>
            </w:r>
          </w:p>
          <w:p w14:paraId="62235EB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 artiklan 1 kohdan 109 alakohta ja 41 artiklan 1 kohdan b alakohta</w:t>
            </w:r>
          </w:p>
          <w:p w14:paraId="01F4C05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kohdassa ilmoitetaan määrä vain siinä tapauksessa, että toimivaltainen viranomainen on antanut etukäteisen luvan pienentää etuuspohjaisen eläkerahaston varojen vähennettävää määrää.</w:t>
            </w:r>
          </w:p>
          <w:p w14:paraId="2584604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Tälle riville sisällytettäville erille annetaan luottoriskivaatimusten edellyttämä riskipaino.</w:t>
            </w:r>
          </w:p>
        </w:tc>
      </w:tr>
      <w:tr w:rsidR="00CC7D2C" w:rsidRPr="002A677E" w14:paraId="19AA0A30" w14:textId="77777777" w:rsidTr="00822842">
        <w:tc>
          <w:tcPr>
            <w:tcW w:w="1129" w:type="dxa"/>
          </w:tcPr>
          <w:p w14:paraId="2B0B7ED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0430</w:t>
            </w:r>
          </w:p>
        </w:tc>
        <w:tc>
          <w:tcPr>
            <w:tcW w:w="7620" w:type="dxa"/>
          </w:tcPr>
          <w:p w14:paraId="730E741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rPr>
                <w:rStyle w:val="InstructionsTabelleberschrift"/>
                <w:rFonts w:ascii="Times New Roman" w:hAnsi="Times New Roman"/>
                <w:sz w:val="24"/>
              </w:rPr>
              <w:tab/>
              <w:t>(-) Ydinpääoman (CET1) keskinäiset ristiinomistukset</w:t>
            </w:r>
          </w:p>
          <w:p w14:paraId="0C88A31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 artiklan 1 kohdan 122 alakohta, 36 artiklan 1 kohdan g alakohta ja 44 artikla</w:t>
            </w:r>
          </w:p>
          <w:p w14:paraId="70E4C82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sellaisia omistusosuuksia (asetuksen (EU) N:o 575/2013 4 artiklan 1 kohdan 27 kohdassa määriteltyjen) finanssialan yhteisöjen toissijaisen pääoman (CET1) instrumenteista, joihin liittyy keskinäinen ristiinomistus, jolla toimivaltaisen viranomaisen mielestä pyritään lisäämään keinotekoisesti laitoksen omia varoja.</w:t>
            </w:r>
          </w:p>
          <w:p w14:paraId="13E029A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 määrä on laskettava pitkien bruttopositioiden perusteella, ja määrään on sisällytettävä luokkaan 1 sijoitettavat vakuutussektorin omat varat.</w:t>
            </w:r>
          </w:p>
        </w:tc>
      </w:tr>
      <w:tr w:rsidR="00CC7D2C" w:rsidRPr="002A677E" w14:paraId="4336E454" w14:textId="77777777" w:rsidTr="00822842">
        <w:tc>
          <w:tcPr>
            <w:tcW w:w="1129" w:type="dxa"/>
          </w:tcPr>
          <w:p w14:paraId="2B55A13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14:paraId="0F16834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rPr>
                <w:rStyle w:val="InstructionsTabelleberschrift"/>
                <w:rFonts w:ascii="Times New Roman" w:hAnsi="Times New Roman"/>
                <w:sz w:val="24"/>
              </w:rPr>
              <w:tab/>
              <w:t xml:space="preserve">(-) Ensisijaisen lisäpääoman (AT1) eristä tehtävät vähennykset, jotka ylittävät ensisijaisen lisäpääoman (AT1) </w:t>
            </w:r>
          </w:p>
          <w:p w14:paraId="6DB76C3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36 artiklan 1 kohdan j alakohta.</w:t>
            </w:r>
          </w:p>
          <w:p w14:paraId="30BFA55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 määrä saadaan suoraan CA1-lomakkeen kohdasta ”Erät, jotka on vähennettävä ensisijaisen lisäpääoman (AT1) eristä ja jotka ylittävät laitoksen ensisijaisen lisäpääoman (AT1)”. Määrä on vähennettävä ydinpääomasta (CET1).</w:t>
            </w:r>
          </w:p>
        </w:tc>
      </w:tr>
      <w:tr w:rsidR="00CC7D2C" w:rsidRPr="002A677E" w14:paraId="6D33881F" w14:textId="77777777" w:rsidTr="00822842">
        <w:tc>
          <w:tcPr>
            <w:tcW w:w="1129" w:type="dxa"/>
          </w:tcPr>
          <w:p w14:paraId="2BE24FA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2417353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rPr>
                <w:rStyle w:val="InstructionsTabelleberschrift"/>
                <w:rFonts w:ascii="Times New Roman" w:hAnsi="Times New Roman"/>
                <w:sz w:val="24"/>
              </w:rPr>
              <w:tab/>
              <w:t>(-) Finanssialan ulkopuoliset huomattavat omistusosuudet, joihin voidaan vaihtoehtoisesti soveltaa 1 250 prosentin riskipainoa</w:t>
            </w:r>
          </w:p>
          <w:p w14:paraId="2960DCD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 artiklan 1 kohdan 36 alakohta, 36 artiklan 1 kohdan k alakohdan i alakohta ja 89–91 artikla</w:t>
            </w:r>
          </w:p>
          <w:p w14:paraId="0403F80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Huomattavilla omistusosuuksilla tarkoitetaan ”suoraa tai välillistä omistusosuutta yrityksessä, kun tämä osuus on vähintään 10 prosenttia pääomasta tai äänioikeuksista tai kun sen nojalla on mahdollista vaikuttaa huomattavasti kyseisen yrityksen johtamiseen”.</w:t>
            </w:r>
          </w:p>
          <w:p w14:paraId="274DC2B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36 artiklan 1 kohdan k alakohdan i alakohdan mukaan huomattavat omistusosuudet voidaan vaihtoehtoisesti joko vähentää ydinpääomasta (CET1) (käyttämällä tätä kohtaa) tai niihin voidaan soveltaa 1 250 prosentin riskipainoa.</w:t>
            </w:r>
          </w:p>
        </w:tc>
      </w:tr>
      <w:tr w:rsidR="00CC7D2C" w:rsidRPr="002A677E" w14:paraId="53EB9EFA" w14:textId="77777777" w:rsidTr="00822842">
        <w:tc>
          <w:tcPr>
            <w:tcW w:w="1129" w:type="dxa"/>
          </w:tcPr>
          <w:p w14:paraId="6CF9FC7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14:paraId="4D56DD4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rPr>
                <w:rStyle w:val="InstructionsTabelleberschrift"/>
                <w:rFonts w:ascii="Times New Roman" w:hAnsi="Times New Roman"/>
                <w:sz w:val="24"/>
              </w:rPr>
              <w:tab/>
              <w:t xml:space="preserve">(-) </w:t>
            </w:r>
            <w:proofErr w:type="spellStart"/>
            <w:r>
              <w:rPr>
                <w:rStyle w:val="InstructionsTabelleberschrift"/>
                <w:rFonts w:ascii="Times New Roman" w:hAnsi="Times New Roman"/>
                <w:sz w:val="24"/>
              </w:rPr>
              <w:t>Arvopaperistamispositiot</w:t>
            </w:r>
            <w:proofErr w:type="spellEnd"/>
            <w:r>
              <w:rPr>
                <w:rStyle w:val="InstructionsTabelleberschrift"/>
                <w:rFonts w:ascii="Times New Roman" w:hAnsi="Times New Roman"/>
                <w:sz w:val="24"/>
              </w:rPr>
              <w:t>, joihin voidaan vaihtoehtoisesti soveltaa 1 250 prosentin riskipainoa</w:t>
            </w:r>
          </w:p>
          <w:p w14:paraId="1873153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Asetuksen (EU) N:o 575/2013 244 artiklan 1 kohdan b alakohta, 245 artiklan 1 kohdan b alakohta ja 253 artiklan 1 kohta </w:t>
            </w:r>
          </w:p>
          <w:p w14:paraId="120138C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Tässä erässä ilmoitetaan </w:t>
            </w:r>
            <w:proofErr w:type="spellStart"/>
            <w:r>
              <w:rPr>
                <w:rStyle w:val="FormatvorlageInstructionsTabelleText"/>
                <w:rFonts w:ascii="Times New Roman" w:hAnsi="Times New Roman"/>
                <w:sz w:val="24"/>
              </w:rPr>
              <w:t>arvopaperistamispositiot</w:t>
            </w:r>
            <w:proofErr w:type="spellEnd"/>
            <w:r>
              <w:rPr>
                <w:rStyle w:val="FormatvorlageInstructionsTabelleText"/>
                <w:rFonts w:ascii="Times New Roman" w:hAnsi="Times New Roman"/>
                <w:sz w:val="24"/>
              </w:rPr>
              <w:t>, joihin sovelletaan 1 250 prosentin riskipainoa mutta jotka voidaan vaihtoehtoisesti vähentää ydinpääomasta (CET1) (asetuksen (EU) N:o 575/2013 36 artiklan 1 kohdan k alakohdan ii alakohta).</w:t>
            </w:r>
          </w:p>
        </w:tc>
      </w:tr>
      <w:tr w:rsidR="00CC7D2C" w:rsidRPr="002A677E" w14:paraId="07BBECDD" w14:textId="77777777" w:rsidTr="00822842">
        <w:tc>
          <w:tcPr>
            <w:tcW w:w="1129" w:type="dxa"/>
          </w:tcPr>
          <w:p w14:paraId="113ECC9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14:paraId="313C7D2D"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rPr>
                <w:rStyle w:val="InstructionsTabelleberschrift"/>
                <w:rFonts w:ascii="Times New Roman" w:hAnsi="Times New Roman"/>
                <w:sz w:val="24"/>
              </w:rPr>
              <w:tab/>
              <w:t>(-) Luottokaupan selvitysriski, johon voidaan vaihtoehtoisesti soveltaa 1 250 prosentin riskipainoa</w:t>
            </w:r>
          </w:p>
          <w:p w14:paraId="789AEE8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Asetuksen (EU) N:o 575/2013 36 artiklan 1 kohdan k alakohdan iii alakohta ja 379 artiklan 3 kohta</w:t>
            </w:r>
          </w:p>
          <w:p w14:paraId="6ABDA04F"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Luottokaupan selvitysriskiin (vaillinaisiin siirtoihin) sovelletaan 1 250 prosentin riskipainoa viisi pankkipäivää toisen sopimusperusteisen maksu-/toimitusvelvoitteen jälkeen transaktion päättymiseen asti selvitysriskin omien varojen vaatimusten mukaisesti. Vaihtoehtoisesti se voidaan vähentää ydinpääomasta (CET1) (asetuksen (EU) N:o 575/2013 36 artiklan 1 kohdan k alakohdan iii alakohta). Jälkimmäisessä tapauksessa se ilmoitetaan tässä erässä.</w:t>
            </w:r>
          </w:p>
        </w:tc>
      </w:tr>
      <w:tr w:rsidR="00CC7D2C" w:rsidRPr="002A677E" w14:paraId="222C2779" w14:textId="77777777" w:rsidTr="00822842">
        <w:tc>
          <w:tcPr>
            <w:tcW w:w="1129" w:type="dxa"/>
          </w:tcPr>
          <w:p w14:paraId="4F7A9EE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0471</w:t>
            </w:r>
          </w:p>
        </w:tc>
        <w:tc>
          <w:tcPr>
            <w:tcW w:w="7620" w:type="dxa"/>
          </w:tcPr>
          <w:p w14:paraId="2E2F85E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rPr>
                <w:rStyle w:val="InstructionsTabelleberschrift"/>
                <w:rFonts w:ascii="Times New Roman" w:hAnsi="Times New Roman"/>
                <w:sz w:val="24"/>
              </w:rPr>
              <w:tab/>
              <w:t>(-) Positiot korissa, jolle laitos ei voi määrittää riskipainoa IRB-menetelmällä ja johon voidaan vaihtoehtoisesti soveltaa 1 250 prosentin riskipainoa</w:t>
            </w:r>
          </w:p>
          <w:p w14:paraId="70308AF0"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Asetuksen (EU) N:o 575/2013 36 artiklan 1 kohdan k alakohdan iv alakohta ja 153 artiklan 8 kohta</w:t>
            </w:r>
          </w:p>
          <w:p w14:paraId="114F16D8"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Asetuksen (EU) N:o 575/2013 36 artiklan 1 kohdan k alakohdan iv alakohdan mukaan positiot korissa, jolle laitos ei voi määrittää riskipainoa IRB-menetelmällä, voidaan vaihtoehtoisesti vähentää ydinpääomasta (CET1) (käyttämällä tätä kohtaa) tai niihin voidaan soveltaa 1 250 prosentin riskipainoa.</w:t>
            </w:r>
          </w:p>
        </w:tc>
      </w:tr>
      <w:tr w:rsidR="00CC7D2C" w:rsidRPr="002A677E" w14:paraId="71C680BD" w14:textId="77777777" w:rsidTr="00822842">
        <w:tc>
          <w:tcPr>
            <w:tcW w:w="1129" w:type="dxa"/>
          </w:tcPr>
          <w:p w14:paraId="12F31FF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0472</w:t>
            </w:r>
          </w:p>
        </w:tc>
        <w:tc>
          <w:tcPr>
            <w:tcW w:w="7620" w:type="dxa"/>
          </w:tcPr>
          <w:p w14:paraId="141E9D8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rPr>
                <w:rStyle w:val="InstructionsTabelleberschrift"/>
                <w:rFonts w:ascii="Times New Roman" w:hAnsi="Times New Roman"/>
                <w:sz w:val="24"/>
              </w:rPr>
              <w:tab/>
              <w:t>(-) Sellaiset oman pääoman ehtoiset sijoitukset sisäisen mallin menetelmää käyttäen, joihin voidaan vaihtoehtoisesti soveltaa 1 250 prosentin riskipainoa</w:t>
            </w:r>
          </w:p>
          <w:p w14:paraId="758EFAFE"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Asetuksen (EU) N:o 575/2013 36 artiklan 1 kohdan k alakohdan v alakohta ja 155 artiklan 4 kohta</w:t>
            </w:r>
          </w:p>
          <w:p w14:paraId="093FDB23"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asetuksen (EU) N:o 575/2013 36 artiklan 1 kohdan k alakohdan v alakohdan mukaan oman pääoman ehtoiset sijoitukset sisäisen mallin menetelmää käyttäen voidaan vaihtoehtoisesti vähentää ydinpääomasta (CET1) (käyttämällä tätä kohtaa) tai niihin voidaan soveltaa 1 250 prosentin riskipainoa.</w:t>
            </w:r>
          </w:p>
        </w:tc>
      </w:tr>
      <w:tr w:rsidR="00CC7D2C" w:rsidRPr="002A677E" w14:paraId="35B2C8E3" w14:textId="77777777" w:rsidTr="00822842">
        <w:tc>
          <w:tcPr>
            <w:tcW w:w="1129" w:type="dxa"/>
          </w:tcPr>
          <w:p w14:paraId="6745C73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14:paraId="7AF9AE0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rPr>
                <w:rStyle w:val="InstructionsTabelleberschrift"/>
                <w:rFonts w:ascii="Times New Roman" w:hAnsi="Times New Roman"/>
                <w:sz w:val="24"/>
              </w:rPr>
              <w:tab/>
              <w:t>(-) Finanssialan yhteisöjen ydinpääoman (CET1) instrumentit, kun laitoksella ei ole merkittävää sijoitusta näissä yhteisöissä</w:t>
            </w:r>
          </w:p>
          <w:p w14:paraId="5795285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 artiklan 1 kohdan 27 alakohta, 36 artiklan 1 kohdan h alakohta, 43–46 artikla, 49 artikla sekä 79 artiklan 2 ja 3 kohta</w:t>
            </w:r>
          </w:p>
          <w:p w14:paraId="103972A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ydinpääomasta (CET1) vähennettävää osaa omistusosuuksista, jotka laitoksella on sellaisten (asetuksen (EU) N:o 575/2013 4 artiklan 1 kohdan 27 kohdassa määriteltyjen) finanssialan yhteisöjen instrumenteista, joissa laitoksella ei ole merkittävää sijoitusta.</w:t>
            </w:r>
          </w:p>
          <w:p w14:paraId="06EFB9A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Ks. vaihtoehdot vähennykselle konsolidointia sovellettaessa (49 artiklan 2 ja 3 kohta).</w:t>
            </w:r>
          </w:p>
        </w:tc>
      </w:tr>
      <w:tr w:rsidR="00CC7D2C" w:rsidRPr="002A677E" w14:paraId="07AF0461" w14:textId="77777777" w:rsidTr="00822842">
        <w:tc>
          <w:tcPr>
            <w:tcW w:w="1129" w:type="dxa"/>
          </w:tcPr>
          <w:p w14:paraId="26D1784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14:paraId="4D00A831"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rPr>
                <w:rStyle w:val="InstructionsTabelleberschrift"/>
                <w:rFonts w:ascii="Times New Roman" w:hAnsi="Times New Roman"/>
                <w:sz w:val="24"/>
              </w:rPr>
              <w:tab/>
              <w:t>(-) Vähennyskelpoiset tulevista veronalaisista voitoista riippuvat ja väliaikaisten erojen seurauksena syntyvät laskennalliset verosaamiset</w:t>
            </w:r>
          </w:p>
          <w:p w14:paraId="2D413C9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Asetuksen (EU) N:o 575/2013 36 artiklan 1 kohdan c alakohta, 38 artikla ja 48 artiklan 1 kohdan a alakohta</w:t>
            </w:r>
          </w:p>
          <w:p w14:paraId="3ABD353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asetuksen (EU) N:o 575/2013 48 artiklan 1 kohdan a alakohdassa tarkoitetun 10 prosentin kynnysarvon soveltamisalaan kuuluvaa vähennettävää osaa laskennallisista verosaamisista, jotka riippuvat tulevista veronalaisista voitoista ja syntyvät väliaikaisten erojen seurauksena (kun vähennettävästä osasta on ensin vähennetty laskennallisten verovelkojen osa, joka on kohdistettu väliaikaisten erojen seurauksena syntyviin laskennallisiin verosaamisiin kyseisen asetuksen 38 artiklan 5 kohdan b alakohdan mukaisesti).</w:t>
            </w:r>
          </w:p>
        </w:tc>
      </w:tr>
      <w:tr w:rsidR="00CC7D2C" w:rsidRPr="002A677E" w14:paraId="08DD7DB0" w14:textId="77777777" w:rsidTr="00822842">
        <w:tc>
          <w:tcPr>
            <w:tcW w:w="1129" w:type="dxa"/>
          </w:tcPr>
          <w:p w14:paraId="6047B3B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0500</w:t>
            </w:r>
          </w:p>
        </w:tc>
        <w:tc>
          <w:tcPr>
            <w:tcW w:w="7620" w:type="dxa"/>
          </w:tcPr>
          <w:p w14:paraId="39C628FB"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rPr>
                <w:rStyle w:val="InstructionsTabelleberschrift"/>
                <w:rFonts w:ascii="Times New Roman" w:hAnsi="Times New Roman"/>
                <w:sz w:val="24"/>
              </w:rPr>
              <w:tab/>
              <w:t>(-) Finanssialan yhteisöjen ydinpääoman (CET1) instrumentit, kun laitoksella on merkittävä sijoitus näissä yhteisöissä</w:t>
            </w:r>
          </w:p>
          <w:p w14:paraId="021EF33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Asetuksen (EU) N:o 575/2013 4 artiklan 1 kohdan 27 alakohta, 36 artiklan 1 kohdan i alakohta; </w:t>
            </w:r>
            <w:r>
              <w:t>43, 45, 47 artikla, 48 artiklan 2 kohdan b alakohta, 49 artiklan 1, 2 ja 3 kohta sekä 79 artikla</w:t>
            </w:r>
          </w:p>
          <w:p w14:paraId="78642F4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asetuksen (EU) N:o 575/2013 48 artiklan 1 kohdan b alakohdassa tarkoitetun 10 prosentin kynnysarvon soveltamisalaan kuuluvaa vähennettävää osaa omistusosuuksista, jotka laitoksella on sellaisten (kyseisen asetuksen 4 artiklan 1 kohdan 27 kohdassa määriteltyjen) finanssialan yhteisöjen ydinpääoman (CET1) instrumenteista, joissa laitoksella on merkittävä sijoitus.</w:t>
            </w:r>
          </w:p>
          <w:p w14:paraId="3676DBD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Ks. vaihtoehdot vähennykselle konsolidointia sovellettaessa (asetuksen (EU) N:o 575/2013 49 artiklan 1, 2 ja 3 kohta).</w:t>
            </w:r>
          </w:p>
        </w:tc>
      </w:tr>
      <w:tr w:rsidR="00CC7D2C" w:rsidRPr="002A677E" w14:paraId="1718B66D" w14:textId="77777777" w:rsidTr="00822842">
        <w:tc>
          <w:tcPr>
            <w:tcW w:w="1129" w:type="dxa"/>
          </w:tcPr>
          <w:p w14:paraId="342B789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tcPr>
          <w:p w14:paraId="02BE26C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rPr>
                <w:rStyle w:val="InstructionsTabelleberschrift"/>
                <w:rFonts w:ascii="Times New Roman" w:hAnsi="Times New Roman"/>
                <w:sz w:val="24"/>
              </w:rPr>
              <w:tab/>
              <w:t>(-) 17,65 prosentin kynnysarvon ylittävä määrä</w:t>
            </w:r>
          </w:p>
          <w:p w14:paraId="53E265A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48 artiklan 2 kohta</w:t>
            </w:r>
          </w:p>
          <w:p w14:paraId="2F637F5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asetuksen (EU) N:o 575/2013 48 artiklan 2 kohdassa säädetyn 17,65 prosentin kynnysarvon soveltamisalaan kuuluvaa vähennettävää osaa tulevista veronalaisista voitoista riippuvista ja väliaikaisten erojen seurauksena syntyvistä laskennallisista verosaamisista sekä suorista, välillisistä ja synteettisistä omistusosuuksista, jotka laitoksella on sellaisten (kyseisen asetuksen 4 artiklan 1 kohdan 27 alakohdassa määriteltyjen) finanssialan yhteisöjen ydinpääoman (CET1) instrumenteista, joissa laitoksella on merkittävä sijoitus.</w:t>
            </w:r>
          </w:p>
        </w:tc>
      </w:tr>
      <w:tr w:rsidR="00CC7D2C" w:rsidRPr="002A677E" w14:paraId="3C4AD346" w14:textId="77777777" w:rsidTr="00822842">
        <w:tc>
          <w:tcPr>
            <w:tcW w:w="1129" w:type="dxa"/>
          </w:tcPr>
          <w:p w14:paraId="2A1B1F3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0511</w:t>
            </w:r>
          </w:p>
        </w:tc>
        <w:tc>
          <w:tcPr>
            <w:tcW w:w="7620" w:type="dxa"/>
          </w:tcPr>
          <w:p w14:paraId="6D890327"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1.1.1.25.1</w:t>
            </w:r>
            <w:r>
              <w:rPr>
                <w:rStyle w:val="InstructionsTabelleberschrift"/>
                <w:rFonts w:ascii="Times New Roman" w:hAnsi="Times New Roman"/>
                <w:sz w:val="24"/>
              </w:rPr>
              <w:tab/>
              <w:t>(-) 17,65 prosentin kynnysarvon ylittävä määrä, joka liittyy niiden finanssialan yhteisöjen ydinpääoman (CET1) instrumentteihin, joissa laitoksella on merkittävä sijoitus</w:t>
            </w:r>
          </w:p>
        </w:tc>
      </w:tr>
      <w:tr w:rsidR="00CC7D2C" w:rsidRPr="002A677E" w14:paraId="7929A46A" w14:textId="77777777" w:rsidTr="00822842">
        <w:tc>
          <w:tcPr>
            <w:tcW w:w="1129" w:type="dxa"/>
          </w:tcPr>
          <w:p w14:paraId="1D97F1A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0512</w:t>
            </w:r>
          </w:p>
        </w:tc>
        <w:tc>
          <w:tcPr>
            <w:tcW w:w="7620" w:type="dxa"/>
          </w:tcPr>
          <w:p w14:paraId="691F847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1.1.1.25.2</w:t>
            </w:r>
            <w:r>
              <w:rPr>
                <w:rStyle w:val="InstructionsTabelleberschrift"/>
                <w:rFonts w:ascii="Times New Roman" w:hAnsi="Times New Roman"/>
                <w:sz w:val="24"/>
              </w:rPr>
              <w:tab/>
              <w:t>(-) 17.65 prosentin kynnysarvon ylittävä määrä, joka liittyy väliaikaisten erojen seurauksena syntyviin laskennallisiin verosaamisiin</w:t>
            </w:r>
          </w:p>
        </w:tc>
      </w:tr>
      <w:tr w:rsidR="00CC7D2C" w:rsidRPr="002A677E" w14:paraId="5E7DD32F" w14:textId="77777777" w:rsidTr="00822842">
        <w:tc>
          <w:tcPr>
            <w:tcW w:w="1129" w:type="dxa"/>
          </w:tcPr>
          <w:p w14:paraId="4D9578E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0513</w:t>
            </w:r>
          </w:p>
        </w:tc>
        <w:tc>
          <w:tcPr>
            <w:tcW w:w="7620" w:type="dxa"/>
          </w:tcPr>
          <w:p w14:paraId="7A4B520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1.1.1.25A (-) Järjestämättömien vastuiden kattamisvaatimuksesta puuttuva määrä</w:t>
            </w:r>
          </w:p>
          <w:p w14:paraId="36971E9A"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 Asetuksen (EU) N:o 575/2013 36 artiklan 1 kohdan m alakohta ja 47 c artikla</w:t>
            </w:r>
          </w:p>
        </w:tc>
      </w:tr>
      <w:tr w:rsidR="00CC7D2C" w:rsidRPr="002A677E" w14:paraId="65DD59D7" w14:textId="77777777" w:rsidTr="00822842">
        <w:tc>
          <w:tcPr>
            <w:tcW w:w="1129" w:type="dxa"/>
          </w:tcPr>
          <w:p w14:paraId="1C1B98B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0514</w:t>
            </w:r>
          </w:p>
        </w:tc>
        <w:tc>
          <w:tcPr>
            <w:tcW w:w="7620" w:type="dxa"/>
          </w:tcPr>
          <w:p w14:paraId="69BEEB9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1.1.1.25B (-) Vähimmäisarvoa koskevan sitoumuksen alittavat määrät</w:t>
            </w:r>
          </w:p>
          <w:p w14:paraId="5C5FE4E7"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Asetuksen (EU) N:o 575/2013 36 artiklan 1 kohdan n alakohta ja 132 c artiklan 2 kohta</w:t>
            </w:r>
          </w:p>
        </w:tc>
      </w:tr>
      <w:tr w:rsidR="00CC7D2C" w:rsidRPr="002A677E" w14:paraId="081BFBC8" w14:textId="77777777" w:rsidTr="00822842">
        <w:tc>
          <w:tcPr>
            <w:tcW w:w="1129" w:type="dxa"/>
          </w:tcPr>
          <w:p w14:paraId="77CC8AD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0515</w:t>
            </w:r>
          </w:p>
        </w:tc>
        <w:tc>
          <w:tcPr>
            <w:tcW w:w="7620" w:type="dxa"/>
          </w:tcPr>
          <w:p w14:paraId="7CF705A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1.1.1.25C (-) Muut odotettavissa olevat verot</w:t>
            </w:r>
          </w:p>
          <w:p w14:paraId="2BA02C96" w14:textId="77777777" w:rsidR="00CC7D2C" w:rsidRPr="002A677E" w:rsidRDefault="00CC7D2C" w:rsidP="00320EF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Asetuksen (EU) N:o 575/2013 36 artiklan 1 kohdan l alakohta</w:t>
            </w:r>
          </w:p>
          <w:p w14:paraId="3ADB3F66"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Laskentahetkellä odotettavissa olevat ydinpääoman (CET1) eriin liittyvät muut verot kuin ne verot, jotka on otettu jo huomioon jollakin muulla ydinpääoman (CET1) eriä kuvaavalla rivillä pienentämällä kyseisen ydinpääoman (CET1) erän määrää.</w:t>
            </w:r>
          </w:p>
        </w:tc>
      </w:tr>
      <w:tr w:rsidR="00CC7D2C" w:rsidRPr="002A677E" w14:paraId="6C5A4DA3" w14:textId="77777777" w:rsidTr="00822842">
        <w:tc>
          <w:tcPr>
            <w:tcW w:w="1129" w:type="dxa"/>
          </w:tcPr>
          <w:p w14:paraId="3496E55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tcPr>
          <w:p w14:paraId="1BE8677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rPr>
                <w:rStyle w:val="InstructionsTabelleberschrift"/>
                <w:rFonts w:ascii="Times New Roman" w:hAnsi="Times New Roman"/>
                <w:sz w:val="24"/>
              </w:rPr>
              <w:tab/>
              <w:t>Muut ydinpääomaa (CET1) koskevat siirtymäkauden oikaisut</w:t>
            </w:r>
          </w:p>
          <w:p w14:paraId="3DD4F5B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469–478 artikla ja 481 artikla</w:t>
            </w:r>
          </w:p>
          <w:p w14:paraId="2DE2AED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vähennyksiin tehtäviä oikaisuja, jotka aiheutuvat siirtymäsäännöksistä. Ilmoitettava määrä saadaan suoraan CA5-lomakkeesta.</w:t>
            </w:r>
          </w:p>
        </w:tc>
      </w:tr>
      <w:tr w:rsidR="00CC7D2C" w:rsidRPr="002A677E" w14:paraId="5736C556" w14:textId="77777777" w:rsidTr="00822842">
        <w:tc>
          <w:tcPr>
            <w:tcW w:w="1129" w:type="dxa"/>
          </w:tcPr>
          <w:p w14:paraId="5F6156C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0524</w:t>
            </w:r>
          </w:p>
        </w:tc>
        <w:tc>
          <w:tcPr>
            <w:tcW w:w="7620" w:type="dxa"/>
          </w:tcPr>
          <w:p w14:paraId="344A23B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rPr>
                <w:rStyle w:val="InstructionsTabelleberschrift"/>
                <w:rFonts w:ascii="Times New Roman" w:hAnsi="Times New Roman"/>
                <w:sz w:val="24"/>
              </w:rPr>
              <w:tab/>
              <w:t>(-) Asetuksen (EU) N:o 575/2013 3 artiklan nojalla tehtävät ydinpääoman (CET1) lisävähennykset</w:t>
            </w:r>
          </w:p>
          <w:p w14:paraId="1B49427B"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Asetuksen (EU) N:o 575/2013 3 artikla</w:t>
            </w:r>
          </w:p>
          <w:p w14:paraId="64882D17"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Jos laitos päättää vähentää ohjelmistohyödykkeet täysimääräisesti asetuksen (EU) N:o 575/2013 3 artiklan mukaisesti delegoidun asetuksen (EU) N:o 241/2014 13 a artiklan mukaisen käsittelyn sijaan, vähennettävää lisämäärää ei ilmoiteta tällä rivillä vaan rivillä 0352.</w:t>
            </w:r>
          </w:p>
        </w:tc>
      </w:tr>
      <w:tr w:rsidR="00CC7D2C" w:rsidRPr="002A677E" w14:paraId="662A8EF0" w14:textId="77777777" w:rsidTr="00822842">
        <w:tc>
          <w:tcPr>
            <w:tcW w:w="1129" w:type="dxa"/>
          </w:tcPr>
          <w:p w14:paraId="6B3D695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0529</w:t>
            </w:r>
          </w:p>
        </w:tc>
        <w:tc>
          <w:tcPr>
            <w:tcW w:w="7620" w:type="dxa"/>
          </w:tcPr>
          <w:p w14:paraId="2DFF9E3A"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rPr>
                <w:rStyle w:val="InstructionsTabelleberschrift"/>
                <w:rFonts w:ascii="Times New Roman" w:hAnsi="Times New Roman"/>
                <w:sz w:val="24"/>
              </w:rPr>
              <w:tab/>
              <w:t>Muut ydinpääoman (CET1) osatekijät tai vähennykset</w:t>
            </w:r>
          </w:p>
          <w:p w14:paraId="4265ECB7"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Tämä rivi on luotu yksinomaan raportoinnin joustavoimiseksi. Riviä käytetään vain niissä harvinaisissa tilanteissa, joissa ei ole tehty lopullista päätöstä tiettyjen pääomaerien/-vähennysten ilmoittamisesta tässä CA1-lomakkeessa. Näin ollen tätä riviä käytetään vain silloin, kun ydinpääoman (CET1) osatekijää tai ydinpääoman (CET1) osatekijän vähennystä ei voida kirjata jollekin riveistä 020–524. </w:t>
            </w:r>
          </w:p>
          <w:p w14:paraId="5B36F38F"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Tätä riviä ei saa käyttää siihen, että vakavaraisuussuhdelukujen laskentaan otetaan mukaan asetuksen (EU) N:o 575/2013 soveltamisalaan kuulumattomia pääomaeriä/-vähennyksiä (kuten asetuksen (EU) N:o 575/2013 soveltamisalan kuulumattomia kansallisia pääomaeriä/-vähennyksiä).</w:t>
            </w:r>
          </w:p>
        </w:tc>
      </w:tr>
      <w:tr w:rsidR="00CC7D2C" w:rsidRPr="002A677E" w14:paraId="6407D659" w14:textId="77777777" w:rsidTr="00822842">
        <w:tc>
          <w:tcPr>
            <w:tcW w:w="1129" w:type="dxa"/>
          </w:tcPr>
          <w:p w14:paraId="09BA6CC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0" w:type="dxa"/>
          </w:tcPr>
          <w:p w14:paraId="4FEC9F4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rPr>
                <w:rStyle w:val="InstructionsTabelleberschrift"/>
                <w:rFonts w:ascii="Times New Roman" w:hAnsi="Times New Roman"/>
                <w:sz w:val="24"/>
              </w:rPr>
              <w:tab/>
              <w:t>ENSISIJAINEN LISÄPÄÄOMA (AT1)</w:t>
            </w:r>
          </w:p>
          <w:p w14:paraId="43A675F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61 artikla</w:t>
            </w:r>
          </w:p>
        </w:tc>
      </w:tr>
      <w:tr w:rsidR="00CC7D2C" w:rsidRPr="002A677E" w14:paraId="623CCD0F" w14:textId="77777777" w:rsidTr="00822842">
        <w:tc>
          <w:tcPr>
            <w:tcW w:w="1129" w:type="dxa"/>
          </w:tcPr>
          <w:p w14:paraId="1BB703D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0" w:type="dxa"/>
          </w:tcPr>
          <w:p w14:paraId="571A9A4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rPr>
                <w:rStyle w:val="InstructionsTabelleberschrift"/>
                <w:rFonts w:ascii="Times New Roman" w:hAnsi="Times New Roman"/>
                <w:sz w:val="24"/>
              </w:rPr>
              <w:tab/>
              <w:t>Ensisijaiseksi lisäpääomaksi (AT1) hyväksyttävät pääomainstrumentit ja ylikurssirahastot</w:t>
            </w:r>
          </w:p>
          <w:p w14:paraId="329D93D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51 artiklan a alakohta, 52, 53 ja 54 artikla, 56 artiklan a alakohta ja 57 artikla</w:t>
            </w:r>
          </w:p>
        </w:tc>
      </w:tr>
      <w:tr w:rsidR="00CC7D2C" w:rsidRPr="002A677E" w14:paraId="573719AB" w14:textId="77777777" w:rsidTr="00822842">
        <w:tc>
          <w:tcPr>
            <w:tcW w:w="1129" w:type="dxa"/>
          </w:tcPr>
          <w:p w14:paraId="5193964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0551</w:t>
            </w:r>
          </w:p>
        </w:tc>
        <w:tc>
          <w:tcPr>
            <w:tcW w:w="7620" w:type="dxa"/>
          </w:tcPr>
          <w:p w14:paraId="25F84BB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rPr>
                <w:rStyle w:val="InstructionsTabelleberschrift"/>
                <w:rFonts w:ascii="Times New Roman" w:hAnsi="Times New Roman"/>
                <w:sz w:val="24"/>
              </w:rPr>
              <w:tab/>
              <w:t>Kokonaan maksetut, suoraan liikkeeseen lasketut pääomainstrumentit</w:t>
            </w:r>
          </w:p>
          <w:p w14:paraId="417CF72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51 artiklan a alakohta sekä 52, 53 ja 54 artikla</w:t>
            </w:r>
          </w:p>
          <w:p w14:paraId="722381C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Ilmoitettavaan määrään ei sisällytetä instrumentteihin liittyvää ylikurssirahastoa.</w:t>
            </w:r>
          </w:p>
        </w:tc>
      </w:tr>
      <w:tr w:rsidR="00CC7D2C" w:rsidRPr="002A677E" w14:paraId="3A7700CF" w14:textId="77777777" w:rsidTr="00822842">
        <w:tc>
          <w:tcPr>
            <w:tcW w:w="1129" w:type="dxa"/>
          </w:tcPr>
          <w:p w14:paraId="77E0958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14:paraId="7DD639A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 (*)</w:t>
            </w:r>
            <w:r>
              <w:rPr>
                <w:rStyle w:val="InstructionsTabelleberschrift"/>
                <w:rFonts w:ascii="Times New Roman" w:hAnsi="Times New Roman"/>
                <w:sz w:val="24"/>
              </w:rPr>
              <w:tab/>
              <w:t>Lisätietoerä: ei-hyväksyttävät pääomainstrumentit</w:t>
            </w:r>
          </w:p>
          <w:p w14:paraId="1E6ED08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52 artiklan 1 kohdan c, e ja f alakohta</w:t>
            </w:r>
          </w:p>
          <w:p w14:paraId="1C43881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Alakohdissa säädetyt edellytykset kuvastavat erilaisia pääomatilanteita, jotka voivat muuttua, minkä vuoksi tässä ilmoitettava määrä voi olla hyväksyttävä myöhempien kausien aikana.</w:t>
            </w:r>
          </w:p>
          <w:p w14:paraId="65C7BBA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Ilmoitettavaan määrään ei sisällytetä instrumentteihin liittyvää ylikurssirahastoa.</w:t>
            </w:r>
          </w:p>
        </w:tc>
      </w:tr>
      <w:tr w:rsidR="00CC7D2C" w:rsidRPr="002A677E" w14:paraId="6A57CE01" w14:textId="77777777" w:rsidTr="00822842">
        <w:tc>
          <w:tcPr>
            <w:tcW w:w="1129" w:type="dxa"/>
          </w:tcPr>
          <w:p w14:paraId="0266EAC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0571</w:t>
            </w:r>
          </w:p>
        </w:tc>
        <w:tc>
          <w:tcPr>
            <w:tcW w:w="7620" w:type="dxa"/>
          </w:tcPr>
          <w:p w14:paraId="414AA00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rPr>
                <w:rStyle w:val="InstructionsTabelleberschrift"/>
                <w:rFonts w:ascii="Times New Roman" w:hAnsi="Times New Roman"/>
                <w:sz w:val="24"/>
              </w:rPr>
              <w:tab/>
              <w:t>Ylikurssirahasto</w:t>
            </w:r>
          </w:p>
          <w:p w14:paraId="66E8FE8F"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51 artiklan b alakohta</w:t>
            </w:r>
          </w:p>
          <w:p w14:paraId="137AADA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Ylikurssirahastolla tarkoitetaan samaa kuin sovellettavassa tilinpäätössäännöstössä.</w:t>
            </w:r>
          </w:p>
          <w:p w14:paraId="6463F91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kohdassa ilmoitettava määrä on ”kokonaan maksettuihin, suoraan liikkeeseen laskettuihin pääomainstrumentteihin” liittyvä osa.</w:t>
            </w:r>
          </w:p>
        </w:tc>
      </w:tr>
      <w:tr w:rsidR="00CC7D2C" w:rsidRPr="002A677E" w14:paraId="58ACF44C" w14:textId="77777777" w:rsidTr="00822842">
        <w:tc>
          <w:tcPr>
            <w:tcW w:w="1129" w:type="dxa"/>
          </w:tcPr>
          <w:p w14:paraId="4586F6B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0" w:type="dxa"/>
          </w:tcPr>
          <w:p w14:paraId="65B3E26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rPr>
                <w:rStyle w:val="InstructionsTabelleberschrift"/>
                <w:rFonts w:ascii="Times New Roman" w:hAnsi="Times New Roman"/>
                <w:sz w:val="24"/>
              </w:rPr>
              <w:tab/>
              <w:t>(-) Omat ensisijaisen lisäpääoman (AT1) instrumentit</w:t>
            </w:r>
          </w:p>
          <w:p w14:paraId="4102A44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52 artiklan 1 kohdan b alakohta, 56 artiklan a alakohta ja 57 artikla</w:t>
            </w:r>
          </w:p>
          <w:p w14:paraId="1D64029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Näillä tarkoitetaan omia toissijaisen pääoman (AT1) instrumentteja, jotka ovat raportoivan laitoksen tai ryhmän hallussa raportointipäivänä, ja toissijaisen pääoman (AT1) instrumenttien määriä, jotka on vähennettävä delegoidun asetuksen (EU) N:o 241/2014 28 artiklan 2 kohdan mukaisesti. Tätä erää koskevat asetuksen (EU) N:o 575/2013 57 artiklassa säädetyt poikkeukset.</w:t>
            </w:r>
          </w:p>
          <w:p w14:paraId="20C5394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Kohtaan ”Ei-hyväksyttävät pääomainstrumentit” sisällytettäviä osakkeiden omistusosuuksia ei ilmoiteta tällä rivillä.</w:t>
            </w:r>
          </w:p>
          <w:p w14:paraId="4933E08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Ilmoitettavaan määrään on sisällytettävä omiin osakkeisiin liittyvä ylikurssirahasto.</w:t>
            </w:r>
          </w:p>
          <w:p w14:paraId="6639F65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Kohdat 1.1.2.1.4–1.1.2.1.4.3 eivät sisällä tosiasiallisia tai ehdollisia omien ensisijaisen lisäpääoman (AT1) instrumenttien ostovelvoitteita. Tosiasialliset tai ehdolliset omien ensisijaisen lisäpääoman (AT1) instrumenttien ostovelvoitteet ilmoitetaan erikseen kohdassa 1.1.2.1.5.</w:t>
            </w:r>
          </w:p>
        </w:tc>
      </w:tr>
      <w:tr w:rsidR="00CC7D2C" w:rsidRPr="002A677E" w14:paraId="73E21D37" w14:textId="77777777" w:rsidTr="00822842">
        <w:tc>
          <w:tcPr>
            <w:tcW w:w="1129" w:type="dxa"/>
          </w:tcPr>
          <w:p w14:paraId="7E24EF6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0" w:type="dxa"/>
          </w:tcPr>
          <w:p w14:paraId="6A00726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rPr>
                <w:rStyle w:val="InstructionsTabelleberschrift"/>
                <w:rFonts w:ascii="Times New Roman" w:hAnsi="Times New Roman"/>
                <w:sz w:val="24"/>
              </w:rPr>
              <w:tab/>
              <w:t>(-) Suorat ensisijaisen lisäpääoman (AT1) instrumenttien omistusosuudet</w:t>
            </w:r>
          </w:p>
          <w:p w14:paraId="2E3166D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Asetuksen (EU) N:o 575/2013 4 artiklan 1 kohdan 144 alakohta, 52 artiklan 1 kohdan b alakohta, 56 artiklan a alakohta ja 57 artikla.</w:t>
            </w:r>
          </w:p>
          <w:p w14:paraId="3842C09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Tässä tarkoitetaan kohtaan 1.1.2.1.1 kuuluvia ensisijaisen lisäpääoman (AT1) instrumentteja, jotka ovat konsolidoidun ryhmän laitosten hallussa, </w:t>
            </w:r>
            <w:r>
              <w:rPr>
                <w:rStyle w:val="FormatvorlageInstructionsTabelleText"/>
                <w:rFonts w:ascii="Times New Roman" w:hAnsi="Times New Roman"/>
                <w:sz w:val="24"/>
              </w:rPr>
              <w:lastRenderedPageBreak/>
              <w:t xml:space="preserve">ja ensisijaisen lisäpääoman (AT1) instrumenttien määriä, jotka on vähennettävä delegoidun asetuksen (EU) N:o 241/2014 28 artiklan 2 kohdan mukaisesti. </w:t>
            </w:r>
          </w:p>
        </w:tc>
      </w:tr>
      <w:tr w:rsidR="00CC7D2C" w:rsidRPr="002A677E" w14:paraId="62EF8C25" w14:textId="77777777" w:rsidTr="00822842">
        <w:tc>
          <w:tcPr>
            <w:tcW w:w="1129" w:type="dxa"/>
          </w:tcPr>
          <w:p w14:paraId="4487BD1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0620</w:t>
            </w:r>
          </w:p>
        </w:tc>
        <w:tc>
          <w:tcPr>
            <w:tcW w:w="7620" w:type="dxa"/>
          </w:tcPr>
          <w:p w14:paraId="266D1935"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rPr>
                <w:rStyle w:val="InstructionsTabelleberschrift"/>
                <w:rFonts w:ascii="Times New Roman" w:hAnsi="Times New Roman"/>
                <w:sz w:val="24"/>
              </w:rPr>
              <w:tab/>
              <w:t>(-) Välilliset ensisijaisen lisäpääoman (AT1) instrumenttien omistusosuudet</w:t>
            </w:r>
          </w:p>
          <w:p w14:paraId="426CCC8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52 artiklan 1 kohdan b alakohdan ii alakohta, 56 artiklan a alakohta ja 57 artikla.</w:t>
            </w:r>
          </w:p>
        </w:tc>
      </w:tr>
      <w:tr w:rsidR="00CC7D2C" w:rsidRPr="002A677E" w14:paraId="68C6D4A4" w14:textId="77777777" w:rsidTr="00822842">
        <w:tc>
          <w:tcPr>
            <w:tcW w:w="1129" w:type="dxa"/>
          </w:tcPr>
          <w:p w14:paraId="1AE0424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0621</w:t>
            </w:r>
          </w:p>
        </w:tc>
        <w:tc>
          <w:tcPr>
            <w:tcW w:w="7620" w:type="dxa"/>
          </w:tcPr>
          <w:p w14:paraId="285A9726" w14:textId="77777777" w:rsidR="00CC7D2C" w:rsidRPr="002A677E" w:rsidRDefault="00CC7D2C" w:rsidP="00320EFD">
            <w:pPr>
              <w:pStyle w:val="InstructionsText"/>
            </w:pPr>
            <w:r>
              <w:rPr>
                <w:rStyle w:val="InstructionsTabelleberschrift"/>
                <w:rFonts w:ascii="Times New Roman" w:hAnsi="Times New Roman"/>
                <w:sz w:val="24"/>
              </w:rPr>
              <w:t>1.1.2.1.4.3</w:t>
            </w:r>
            <w:r>
              <w:rPr>
                <w:rStyle w:val="InstructionsTabelleberschrift"/>
                <w:rFonts w:ascii="Times New Roman" w:hAnsi="Times New Roman"/>
                <w:sz w:val="24"/>
              </w:rPr>
              <w:tab/>
              <w:t>(-) Synteettiset ensisijaisen lisäpääoman (AT1) instrumenttien omistusosuudet</w:t>
            </w:r>
          </w:p>
          <w:p w14:paraId="366556FC" w14:textId="77777777" w:rsidR="00CC7D2C" w:rsidRPr="002A677E" w:rsidRDefault="00CC7D2C" w:rsidP="00320EFD">
            <w:pPr>
              <w:pStyle w:val="InstructionsText"/>
              <w:rPr>
                <w:rStyle w:val="InstructionsTabelleberschrift"/>
                <w:rFonts w:ascii="Times New Roman" w:hAnsi="Times New Roman"/>
                <w:b w:val="0"/>
                <w:bCs w:val="0"/>
                <w:sz w:val="24"/>
                <w:u w:val="none"/>
              </w:rPr>
            </w:pPr>
            <w:r>
              <w:t xml:space="preserve"> </w:t>
            </w:r>
            <w:r>
              <w:rPr>
                <w:rStyle w:val="FormatvorlageInstructionsTabelleText"/>
                <w:rFonts w:ascii="Times New Roman" w:hAnsi="Times New Roman"/>
                <w:sz w:val="24"/>
              </w:rPr>
              <w:t>Asetuksen (EU) N:o 575/2013 4 artiklan 1 kohdan 126 alakohta, 52 artiklan 1 kohdan b alakohta, 56 artiklan a alakohta ja 57 artikla.</w:t>
            </w:r>
          </w:p>
        </w:tc>
      </w:tr>
      <w:tr w:rsidR="00CC7D2C" w:rsidRPr="002A677E" w14:paraId="32E83E14" w14:textId="77777777" w:rsidTr="00822842">
        <w:tc>
          <w:tcPr>
            <w:tcW w:w="1129" w:type="dxa"/>
          </w:tcPr>
          <w:p w14:paraId="2ED8824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0622</w:t>
            </w:r>
          </w:p>
        </w:tc>
        <w:tc>
          <w:tcPr>
            <w:tcW w:w="7620" w:type="dxa"/>
          </w:tcPr>
          <w:p w14:paraId="430AAA7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rPr>
                <w:rStyle w:val="InstructionsTabelleberschrift"/>
                <w:rFonts w:ascii="Times New Roman" w:hAnsi="Times New Roman"/>
                <w:sz w:val="24"/>
              </w:rPr>
              <w:tab/>
              <w:t xml:space="preserve">(-) Tosiasialliset tai ehdolliset velvoitteet </w:t>
            </w:r>
            <w:proofErr w:type="gramStart"/>
            <w:r>
              <w:rPr>
                <w:rStyle w:val="InstructionsTabelleberschrift"/>
                <w:rFonts w:ascii="Times New Roman" w:hAnsi="Times New Roman"/>
                <w:sz w:val="24"/>
              </w:rPr>
              <w:t>ostaa</w:t>
            </w:r>
            <w:proofErr w:type="gramEnd"/>
            <w:r>
              <w:rPr>
                <w:rStyle w:val="InstructionsTabelleberschrift"/>
                <w:rFonts w:ascii="Times New Roman" w:hAnsi="Times New Roman"/>
                <w:sz w:val="24"/>
              </w:rPr>
              <w:t xml:space="preserve"> omat ensisijaisen lisäpääoman (AT1) instrumentit</w:t>
            </w:r>
          </w:p>
          <w:p w14:paraId="0B39AA4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56 artiklan a alakohta ja 57 artikla</w:t>
            </w:r>
          </w:p>
          <w:p w14:paraId="3E46885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Asetuksen (EU) N:o 575/2013 56 artiklan a alakohdan mukaan ”omat ensisijaisen lisäpääoman (AT1) instrumentit, jotka laitos voi joutua ostamaan voimassa olevien sopimusvelvoitteiden vuoksi” on vähennettävä.</w:t>
            </w:r>
          </w:p>
        </w:tc>
      </w:tr>
      <w:tr w:rsidR="00CC7D2C" w:rsidRPr="002A677E" w14:paraId="582FD4C2" w14:textId="77777777" w:rsidTr="00822842">
        <w:tc>
          <w:tcPr>
            <w:tcW w:w="1129" w:type="dxa"/>
          </w:tcPr>
          <w:p w14:paraId="12A2570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620" w:type="dxa"/>
          </w:tcPr>
          <w:p w14:paraId="78F0EE7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rPr>
                <w:rStyle w:val="InstructionsTabelleberschrift"/>
                <w:rFonts w:ascii="Times New Roman" w:hAnsi="Times New Roman"/>
                <w:sz w:val="24"/>
              </w:rPr>
              <w:tab/>
              <w:t>Määräajaksi vapautetuista ensisijaisen lisäpääoman (AT1) instrumenteista aiheutuvat siirtymäkauden oikaisut</w:t>
            </w:r>
          </w:p>
          <w:p w14:paraId="4DF87BE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483 artiklan 4 ja 5 kohta, 484–487 artikla sekä 489–491 artikla</w:t>
            </w:r>
          </w:p>
          <w:p w14:paraId="50B5594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Kohtaan sisällytetään niiden pääomainstrumenttien määrä, jotka on siirtymäkauden aikana vapautettu uusista säännöksistä ensisijaisena lisäpääomana (AT1). Ilmoitettava määrä saadaan suoraan CA5-lomakkeesta.</w:t>
            </w:r>
          </w:p>
        </w:tc>
      </w:tr>
      <w:tr w:rsidR="00CC7D2C" w:rsidRPr="002A677E" w14:paraId="16377810" w14:textId="77777777" w:rsidTr="00822842">
        <w:tc>
          <w:tcPr>
            <w:tcW w:w="1129" w:type="dxa"/>
          </w:tcPr>
          <w:p w14:paraId="3E0204F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620" w:type="dxa"/>
          </w:tcPr>
          <w:p w14:paraId="6E86816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rPr>
                <w:rStyle w:val="InstructionsTabelleberschrift"/>
                <w:rFonts w:ascii="Times New Roman" w:hAnsi="Times New Roman"/>
                <w:sz w:val="24"/>
              </w:rPr>
              <w:tab/>
              <w:t>Ensisijaiseen lisäpääomaan (AT1) sisällytetyt tytäryritysten liikkeeseen laskemat instrumentit</w:t>
            </w:r>
          </w:p>
          <w:p w14:paraId="391F334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83, 85 ja 86 artikla</w:t>
            </w:r>
          </w:p>
          <w:p w14:paraId="7CFFAD3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tytäryritysten, ehdot täyttävän ensisijaisen pääoman (T1) kaikkien määrien summaa, joka sisältyy konsolidoituun ensisijaiseen lisäpääomaan (AT1).</w:t>
            </w:r>
          </w:p>
          <w:p w14:paraId="77A5298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Erillisyhtiön liikkeeseen laskema ehdot täyttävä ensisijainen lisäpääoma (AT1) (asetuksen (EU) N:o 575/2013 83 artikla) lasketaan mukaan.</w:t>
            </w:r>
          </w:p>
        </w:tc>
      </w:tr>
      <w:tr w:rsidR="00CC7D2C" w:rsidRPr="002A677E" w14:paraId="4EB0390C" w14:textId="77777777" w:rsidTr="00822842">
        <w:tc>
          <w:tcPr>
            <w:tcW w:w="1129" w:type="dxa"/>
          </w:tcPr>
          <w:p w14:paraId="6905CB1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0680</w:t>
            </w:r>
          </w:p>
        </w:tc>
        <w:tc>
          <w:tcPr>
            <w:tcW w:w="7620" w:type="dxa"/>
          </w:tcPr>
          <w:p w14:paraId="1E4C091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rPr>
                <w:rStyle w:val="InstructionsTabelleberschrift"/>
                <w:rFonts w:ascii="Times New Roman" w:hAnsi="Times New Roman"/>
                <w:sz w:val="24"/>
              </w:rPr>
              <w:tab/>
              <w:t>Ensisijaiseen lisäpääomaan (AT1) sisällytetyistä tytäryritysten liikkeeseen laskemista instrumenteista aiheutuvat siirtymäkauden oikaisut</w:t>
            </w:r>
          </w:p>
          <w:p w14:paraId="6604AC5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480 artikla</w:t>
            </w:r>
          </w:p>
          <w:p w14:paraId="5C5547C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niitä siirtymäsäännöksistä aiheutuvia oikaisuja, jotka kohdistuvat konsolidoituun ensisijaiseen lisäpääomaan (AT1) sisältyvään ehdot täyttävään ensisijaiseen pääomaan (T1). Tämä erä saadaan suoraan CA5-lomakkeesta.</w:t>
            </w:r>
          </w:p>
        </w:tc>
      </w:tr>
      <w:tr w:rsidR="00CC7D2C" w:rsidRPr="002A677E" w14:paraId="2E31DA4D" w14:textId="77777777" w:rsidTr="00822842">
        <w:tc>
          <w:tcPr>
            <w:tcW w:w="1129" w:type="dxa"/>
          </w:tcPr>
          <w:p w14:paraId="5989565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0690</w:t>
            </w:r>
          </w:p>
        </w:tc>
        <w:tc>
          <w:tcPr>
            <w:tcW w:w="7620" w:type="dxa"/>
          </w:tcPr>
          <w:p w14:paraId="04C1AD9C"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rPr>
                <w:rStyle w:val="InstructionsTabelleberschrift"/>
                <w:rFonts w:ascii="Times New Roman" w:hAnsi="Times New Roman"/>
                <w:sz w:val="24"/>
              </w:rPr>
              <w:tab/>
              <w:t>(-) Ensisijaisen lisäpääoman (AT1) keskinäiset ristiinomistukset</w:t>
            </w:r>
          </w:p>
          <w:p w14:paraId="152DEC0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Asetuksen (EU) N:o 575/2013 4 artiklan 1 kohdan 122 alakohta, 56 artiklan b alakohta ja 58 artikla</w:t>
            </w:r>
          </w:p>
          <w:p w14:paraId="1DC47E6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sellaisia omistusosuuksia (asetuksen (EU) N:o 575/2013 4 artiklan 1 kohdan 27 kohdassa määriteltyjen) finanssialan yhteisöjen ensisijaisen lisäpääoman (AT1) instrumenteista, joihin liittyy keskinäinen ristiinomistus, jolla toimivaltaisen viranomaisen mielestä pyritään lisäämään keinotekoisesti laitoksen omia varoja.</w:t>
            </w:r>
          </w:p>
          <w:p w14:paraId="1632995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 määrä on laskettava pitkien bruttopositioiden perusteella, ja määrään on sisällytettävä luokkaan 1 sijoitettavat vakuutussektorin täydentävät omat varat.</w:t>
            </w:r>
          </w:p>
        </w:tc>
      </w:tr>
      <w:tr w:rsidR="00CC7D2C" w:rsidRPr="002A677E" w14:paraId="1EC9825C" w14:textId="77777777" w:rsidTr="00822842">
        <w:tc>
          <w:tcPr>
            <w:tcW w:w="1129" w:type="dxa"/>
          </w:tcPr>
          <w:p w14:paraId="4990963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tcPr>
          <w:p w14:paraId="4ADE7D96"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rPr>
                <w:rStyle w:val="InstructionsTabelleberschrift"/>
                <w:rFonts w:ascii="Times New Roman" w:hAnsi="Times New Roman"/>
                <w:sz w:val="24"/>
              </w:rPr>
              <w:tab/>
              <w:t>(-) Finanssialan yhteisöjen ensisijaisen lisäpääoman (AT1) instrumentit, kun laitoksella ei ole merkittävää sijoitusta näissä yhteisöissä</w:t>
            </w:r>
          </w:p>
          <w:p w14:paraId="5484CEA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 artiklan 1 kohdan 27 alakohta, 56 artiklan c alakohta; 59, 60 ja 79 artikla</w:t>
            </w:r>
          </w:p>
          <w:p w14:paraId="05F839A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ensisijaisesta lisäpääomasta (AT1) vähennettävää osaa omistusosuuksista, jotka laitoksella on sellaisten (asetuksen (EU) N:o 575/2013 4 artiklan 1 kohdan 27 kohdassa määriteltyjen) finanssialan yhteisöjen instrumenteista, joissa laitoksella ei ole merkittävää sijoitusta.</w:t>
            </w:r>
          </w:p>
        </w:tc>
      </w:tr>
      <w:tr w:rsidR="00CC7D2C" w:rsidRPr="002A677E" w14:paraId="41E5F99E" w14:textId="77777777" w:rsidTr="00822842">
        <w:tc>
          <w:tcPr>
            <w:tcW w:w="1129" w:type="dxa"/>
          </w:tcPr>
          <w:p w14:paraId="339AB51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tcPr>
          <w:p w14:paraId="51226A5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rPr>
                <w:rStyle w:val="InstructionsTabelleberschrift"/>
                <w:rFonts w:ascii="Times New Roman" w:hAnsi="Times New Roman"/>
                <w:sz w:val="24"/>
              </w:rPr>
              <w:tab/>
              <w:t>(-) Finanssialan yhteisöjen ensisijaisen lisäpääoman (AT1) instrumentit, kun laitoksella on merkittävä sijoitus näissä yhteisöissä</w:t>
            </w:r>
          </w:p>
          <w:p w14:paraId="3056081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 artiklan 1 kohdan 27 alakohta, 56 artiklan d alakohta sekä 59 ja 79 artikla.</w:t>
            </w:r>
          </w:p>
          <w:p w14:paraId="6F80F93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Omistusosuudet, jotka laitoksella on sellaisten (asetuksen (EU) N:o 575/2013 4 artiklan 1 kohdan 27 kohdassa määriteltyjen) finanssialan yhteisöjen toissijaisen pääoman (AT1) instrumenteista, joissa laitoksella on merkittävä sijoitus, on vähennettävä kokonaan.</w:t>
            </w:r>
          </w:p>
        </w:tc>
      </w:tr>
      <w:tr w:rsidR="00CC7D2C" w:rsidRPr="002A677E" w14:paraId="25A9DEF2" w14:textId="77777777" w:rsidTr="00822842">
        <w:tc>
          <w:tcPr>
            <w:tcW w:w="1129" w:type="dxa"/>
          </w:tcPr>
          <w:p w14:paraId="2EA5EA4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tcPr>
          <w:p w14:paraId="2E18A0D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rPr>
                <w:rStyle w:val="InstructionsTabelleberschrift"/>
                <w:rFonts w:ascii="Times New Roman" w:hAnsi="Times New Roman"/>
                <w:sz w:val="24"/>
              </w:rPr>
              <w:tab/>
              <w:t xml:space="preserve">(-) Toissijaisen pääoman (T2) eristä tehtävät vähennykset, jotka ylittävät toissijaisen pääoman (T2) </w:t>
            </w:r>
          </w:p>
          <w:p w14:paraId="01E05C0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56 artiklan e alakohta.</w:t>
            </w:r>
          </w:p>
          <w:p w14:paraId="1736A02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 määrä saadaan suoraan CA1-lomakkeen kohdasta ”Toissijaisen pääoman (T2) eristä tehtävät vähennykset, jotka ylittävät toissijaisen pääoman (T2) (vähennetään ensisijaisesta lisäpääomasta (AT1))”.</w:t>
            </w:r>
          </w:p>
        </w:tc>
      </w:tr>
      <w:tr w:rsidR="00CC7D2C" w:rsidRPr="002A677E" w14:paraId="72D816DB" w14:textId="77777777" w:rsidTr="00822842">
        <w:tc>
          <w:tcPr>
            <w:tcW w:w="1129" w:type="dxa"/>
          </w:tcPr>
          <w:p w14:paraId="00DAA2F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tcPr>
          <w:p w14:paraId="5EA98D6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rPr>
                <w:rStyle w:val="InstructionsTabelleberschrift"/>
                <w:rFonts w:ascii="Times New Roman" w:hAnsi="Times New Roman"/>
                <w:sz w:val="24"/>
              </w:rPr>
              <w:tab/>
              <w:t>Muut ensisijaista lisäpääomaa (AT1) koskevat siirtymäkauden oikaisut</w:t>
            </w:r>
          </w:p>
          <w:p w14:paraId="29A3904D" w14:textId="337467D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472, 474, 475, 478 ja 481 artikla</w:t>
            </w:r>
          </w:p>
          <w:p w14:paraId="02E3A90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siirtymäsäännöksistä aiheutuvia oikaisuja. Ilmoitettava määrä saadaan suoraan CA5-lomakkeesta.</w:t>
            </w:r>
          </w:p>
        </w:tc>
      </w:tr>
      <w:tr w:rsidR="00CC7D2C" w:rsidRPr="002A677E" w14:paraId="4D2C1ED3" w14:textId="77777777" w:rsidTr="00822842">
        <w:tc>
          <w:tcPr>
            <w:tcW w:w="1129" w:type="dxa"/>
          </w:tcPr>
          <w:p w14:paraId="66F1BAE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0740</w:t>
            </w:r>
          </w:p>
        </w:tc>
        <w:tc>
          <w:tcPr>
            <w:tcW w:w="7620" w:type="dxa"/>
          </w:tcPr>
          <w:p w14:paraId="629D387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rPr>
                <w:rStyle w:val="InstructionsTabelleberschrift"/>
                <w:rFonts w:ascii="Times New Roman" w:hAnsi="Times New Roman"/>
                <w:sz w:val="24"/>
              </w:rPr>
              <w:tab/>
              <w:t>Ensisijaisen lisäpääoman (AT1) eristä tehtävät vähennykset, jotka ylittävät ensisijaisen lisäpääoman (AT1) (vähennetään ydinpääomasta (CET1))</w:t>
            </w:r>
          </w:p>
          <w:p w14:paraId="448C1EA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36 artiklan 1 kohdan j alakohta.</w:t>
            </w:r>
          </w:p>
          <w:p w14:paraId="4E81867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Ensisijainen lisäpääoma (AT1) ei voi olla negatiivinen, mutta ensisijaisesta lisäpääomasta (AT1) tehtävät vähennykset voivat ylittää ensisijaisen lisäpääoman (AT1) sekä siihen liittyvän ylikurssirahaston määrän. Kun näin tapahtuu, ensisijainen lisäpääoma (AT1) on kirjattava nollaksi, ja vähennykset, jotka ylittävät ensisijaiseen lisäpääomaan (AT1), on tehtävä ydinpääomasta (CET1).</w:t>
            </w:r>
          </w:p>
          <w:p w14:paraId="5A10AF9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Tätä kohtaa käytettäessä kohtien 1.1.2.1–1.1.2.12 summa ei ole koskaan alle nolla. Jos tähän kohtaan merkitty luku on positiivinen, kohtaan 1.1.1.16 merkityn luvun oltava negatiivinen.</w:t>
            </w:r>
          </w:p>
        </w:tc>
      </w:tr>
      <w:tr w:rsidR="00CC7D2C" w:rsidRPr="002A677E" w14:paraId="76E516A8" w14:textId="77777777" w:rsidTr="00822842">
        <w:tc>
          <w:tcPr>
            <w:tcW w:w="1129" w:type="dxa"/>
          </w:tcPr>
          <w:p w14:paraId="30A753A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0744</w:t>
            </w:r>
          </w:p>
        </w:tc>
        <w:tc>
          <w:tcPr>
            <w:tcW w:w="7620" w:type="dxa"/>
          </w:tcPr>
          <w:p w14:paraId="1E400C3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rPr>
                <w:rStyle w:val="InstructionsTabelleberschrift"/>
                <w:rFonts w:ascii="Times New Roman" w:hAnsi="Times New Roman"/>
                <w:sz w:val="24"/>
              </w:rPr>
              <w:tab/>
              <w:t>(-) Asetuksen (EU) N:o 575/2013 3 artiklan nojalla tehtävät ydinpääoman (AT1) lisävähennykset</w:t>
            </w:r>
          </w:p>
          <w:p w14:paraId="1A20C9A9"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Asetuksen (EU) N:o 575/2013 3 artikla</w:t>
            </w:r>
          </w:p>
        </w:tc>
      </w:tr>
      <w:tr w:rsidR="00CC7D2C" w:rsidRPr="002A677E" w14:paraId="14CFF964" w14:textId="77777777" w:rsidTr="00822842">
        <w:tc>
          <w:tcPr>
            <w:tcW w:w="1129" w:type="dxa"/>
          </w:tcPr>
          <w:p w14:paraId="4DA3290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0748</w:t>
            </w:r>
          </w:p>
        </w:tc>
        <w:tc>
          <w:tcPr>
            <w:tcW w:w="7620" w:type="dxa"/>
          </w:tcPr>
          <w:p w14:paraId="076B125F"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rPr>
                <w:rStyle w:val="InstructionsTabelleberschrift"/>
                <w:rFonts w:ascii="Times New Roman" w:hAnsi="Times New Roman"/>
                <w:sz w:val="24"/>
              </w:rPr>
              <w:tab/>
              <w:t>Muut ensisijaisen lisäpääoman (AT1) osatekijät tai vähennykset</w:t>
            </w:r>
          </w:p>
          <w:p w14:paraId="31AC8BE6"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Tämä rivi on luotu yksinomaan raportoinnin joustavoimiseksi. Riviä käytetään vain niissä harvinaisissa tilanteissa, joissa ei ole tehty lopullista päätöstä tiettyjen pääomaerien/-vähennysten ilmoittamisesta tässä CA1-lomakkeessa. Näin ollen tätä riviä käytetään vain silloin, kun ensisijaisen lisäpääoman (AT1) osatekijää tai ensisijaisen lisäpääoman (AT1) osatekijän vähennystä ei voida kirjata jollekin riveistä 530–744. </w:t>
            </w:r>
          </w:p>
          <w:p w14:paraId="437FB1AC"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Tätä riviä ei saa käyttää siihen, että vakavaraisuussuhdelukujen laskentaan otetaan mukaan asetuksen (EU) N:o 575/2013 soveltamisalaan kuulumattomia pääomaeriä/-vähennyksiä (kuten kyseisen asetuksen soveltamisalan kuulumattomia kansallisia pääomaeriä/-vähennyksiä).</w:t>
            </w:r>
          </w:p>
        </w:tc>
      </w:tr>
      <w:tr w:rsidR="00CC7D2C" w:rsidRPr="002A677E" w14:paraId="0D98E6DF" w14:textId="77777777" w:rsidTr="00822842">
        <w:tc>
          <w:tcPr>
            <w:tcW w:w="1129" w:type="dxa"/>
          </w:tcPr>
          <w:p w14:paraId="099F260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620" w:type="dxa"/>
          </w:tcPr>
          <w:p w14:paraId="3981C27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rPr>
                <w:rStyle w:val="InstructionsTabelleberschrift"/>
                <w:rFonts w:ascii="Times New Roman" w:hAnsi="Times New Roman"/>
                <w:sz w:val="24"/>
              </w:rPr>
              <w:tab/>
              <w:t>TOISSIJAINEN PÄÄOMA (T2)</w:t>
            </w:r>
          </w:p>
          <w:p w14:paraId="420D26D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71 artikla</w:t>
            </w:r>
          </w:p>
        </w:tc>
      </w:tr>
      <w:tr w:rsidR="00CC7D2C" w:rsidRPr="002A677E" w14:paraId="56549326" w14:textId="77777777" w:rsidTr="00822842">
        <w:tc>
          <w:tcPr>
            <w:tcW w:w="1129" w:type="dxa"/>
          </w:tcPr>
          <w:p w14:paraId="3DDDB2C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620" w:type="dxa"/>
          </w:tcPr>
          <w:p w14:paraId="7D207E3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rPr>
                <w:rStyle w:val="InstructionsTabelleberschrift"/>
                <w:rFonts w:ascii="Times New Roman" w:hAnsi="Times New Roman"/>
                <w:sz w:val="24"/>
              </w:rPr>
              <w:tab/>
              <w:t>Ensisijaiseksi lisäpääomaksi (T2) hyväksyttävät pääomainstrumentit ja ylikurssirahastot</w:t>
            </w:r>
          </w:p>
          <w:p w14:paraId="629702D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62 artiklan a alakohta, 63–65 artikla, 66 artiklan a alakohta ja 67 artikla</w:t>
            </w:r>
          </w:p>
        </w:tc>
      </w:tr>
      <w:tr w:rsidR="00CC7D2C" w:rsidRPr="002A677E" w14:paraId="5D1B7DAB" w14:textId="77777777" w:rsidTr="00822842">
        <w:tc>
          <w:tcPr>
            <w:tcW w:w="1129" w:type="dxa"/>
          </w:tcPr>
          <w:p w14:paraId="059DF69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0771</w:t>
            </w:r>
          </w:p>
        </w:tc>
        <w:tc>
          <w:tcPr>
            <w:tcW w:w="7620" w:type="dxa"/>
          </w:tcPr>
          <w:p w14:paraId="180ACEC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rPr>
                <w:rStyle w:val="InstructionsTabelleberschrift"/>
                <w:rFonts w:ascii="Times New Roman" w:hAnsi="Times New Roman"/>
                <w:sz w:val="24"/>
              </w:rPr>
              <w:tab/>
              <w:t>Kokonaan maksetut, suoraan liikkeeseen lasketut pääomainstrumentit</w:t>
            </w:r>
          </w:p>
          <w:p w14:paraId="71AACDA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62 artiklan a alakohta sekä 63 ja 65 artikla</w:t>
            </w:r>
          </w:p>
          <w:p w14:paraId="409F7B9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Ilmoitettavaan määrään ei sisällytetä instrumentteihin liittyvää ylikurssirahastoa. </w:t>
            </w:r>
          </w:p>
          <w:p w14:paraId="4154610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Pääomainstrumentteihin voi kuulua pääomaa tai velkoja sekä edellytykset täyttäviä etuoikeudeltaan huonompia lainoja.</w:t>
            </w:r>
          </w:p>
        </w:tc>
      </w:tr>
      <w:tr w:rsidR="00CC7D2C" w:rsidRPr="002A677E" w14:paraId="0562750A" w14:textId="77777777" w:rsidTr="00822842">
        <w:tc>
          <w:tcPr>
            <w:tcW w:w="1129" w:type="dxa"/>
          </w:tcPr>
          <w:p w14:paraId="02B0FC7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0780</w:t>
            </w:r>
          </w:p>
        </w:tc>
        <w:tc>
          <w:tcPr>
            <w:tcW w:w="7620" w:type="dxa"/>
          </w:tcPr>
          <w:p w14:paraId="5AD11D11"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rPr>
                <w:rStyle w:val="InstructionsTabelleberschrift"/>
                <w:rFonts w:ascii="Times New Roman" w:hAnsi="Times New Roman"/>
                <w:sz w:val="24"/>
              </w:rPr>
              <w:tab/>
              <w:t>Lisätietoerä: ei-hyväksyttävät pääomainstrumentit</w:t>
            </w:r>
          </w:p>
          <w:p w14:paraId="235500D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Asetuksen (EU) N:o 575/2013 63 artiklan c, e ja f alakohta ja 64 artikla</w:t>
            </w:r>
          </w:p>
          <w:p w14:paraId="0F0E765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Alakohdissa säädetyt edellytykset kuvastavat erilaisia pääomatilanteita, jotka voivat muuttua, minkä vuoksi tässä ilmoitettava määrä voi olla hyväksyttävä myöhempien kausien aikana.</w:t>
            </w:r>
          </w:p>
          <w:p w14:paraId="38DF154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Ilmoitettavaan määrään ei sisällytetä instrumentteihin liittyvää ylikurssirahastoa.</w:t>
            </w:r>
          </w:p>
          <w:p w14:paraId="6140935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Pääomainstrumentteihin voi kuulua pääomaa tai velkoja sekä etuoikeudeltaan huonompia lainoja.</w:t>
            </w:r>
          </w:p>
        </w:tc>
      </w:tr>
      <w:tr w:rsidR="00CC7D2C" w:rsidRPr="002A677E" w14:paraId="320D14E4" w14:textId="77777777" w:rsidTr="00822842">
        <w:tc>
          <w:tcPr>
            <w:tcW w:w="1129" w:type="dxa"/>
          </w:tcPr>
          <w:p w14:paraId="2D30A5B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0791</w:t>
            </w:r>
          </w:p>
        </w:tc>
        <w:tc>
          <w:tcPr>
            <w:tcW w:w="7620" w:type="dxa"/>
          </w:tcPr>
          <w:p w14:paraId="3E5280AD"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rPr>
                <w:rStyle w:val="InstructionsTabelleberschrift"/>
                <w:rFonts w:ascii="Times New Roman" w:hAnsi="Times New Roman"/>
                <w:sz w:val="24"/>
              </w:rPr>
              <w:tab/>
              <w:t>Ylikurssirahasto</w:t>
            </w:r>
          </w:p>
          <w:p w14:paraId="7E1F37D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62 artiklan b alakohta ja 65 artikla</w:t>
            </w:r>
          </w:p>
          <w:p w14:paraId="0EAE793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Ylikurssirahastolla tarkoitetaan samaa kuin sovellettavassa tilinpäätössäännöstössä. </w:t>
            </w:r>
          </w:p>
          <w:p w14:paraId="566D16B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kohdassa ilmoitettava määrä on ”kokonaan maksettuihin, suoraan liikkeeseen laskettuihin pääomainstrumentteihin” liittyvä osa.</w:t>
            </w:r>
          </w:p>
        </w:tc>
      </w:tr>
      <w:tr w:rsidR="00CC7D2C" w:rsidRPr="002A677E" w14:paraId="0AD5B5F9" w14:textId="77777777" w:rsidTr="00822842">
        <w:tc>
          <w:tcPr>
            <w:tcW w:w="1129" w:type="dxa"/>
          </w:tcPr>
          <w:p w14:paraId="3AE7415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tcPr>
          <w:p w14:paraId="54C1E67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rPr>
                <w:rStyle w:val="InstructionsTabelleberschrift"/>
                <w:rFonts w:ascii="Times New Roman" w:hAnsi="Times New Roman"/>
                <w:sz w:val="24"/>
              </w:rPr>
              <w:tab/>
              <w:t>(-) Omat toissijaisen pääoman (T2) instrumentit</w:t>
            </w:r>
          </w:p>
          <w:p w14:paraId="2DB350D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Asetuksen (EU) N:o 575/2013 63 artiklan b alakohdan i alakohta, 66 artiklan a alakohta ja 67 artikla</w:t>
            </w:r>
          </w:p>
          <w:p w14:paraId="53318B1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Näillä tarkoitetaan omia toissijaisen pääoman (T2) instrumentteja, jotka ovat raportoivan laitoksen tai ryhmän hallussa raportointipäivänä, ja toissijaisen pääoman (T2) instrumenttien määriä, jotka on vähennettävä delegoidun asetuksen (EU) N:o 241/2014 28 artiklan 2 kohdan mukaisesti. Tätä erää koskevat asetuksen (EU) N:o 575/2013 67 artiklassa säädetyt poikkeukset.</w:t>
            </w:r>
          </w:p>
          <w:p w14:paraId="2EB0FD2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Kohtaan ”Ei-hyväksyttävät pääomainstrumentit” sisällytettäviä osakkeiden omistusosuuksia ei ilmoiteta tällä rivillä.</w:t>
            </w:r>
          </w:p>
          <w:p w14:paraId="56EC327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Ilmoitettavaan määrään on sisällytettävä omiin osakkeisiin liittyvä ylikurssirahasto.</w:t>
            </w:r>
          </w:p>
          <w:p w14:paraId="3E5981CF"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Erät 1.2.1.4–1.2.1.4.3 eivät sisällä tosiasiallisia tai ehdollisia omien toissijaisen pääoman (T2) instrumenttien ostovelvoitteita. Tosiasialliset tai ehdolliset omien toissijaisen pääoman (T2) instrumenttien ostovelvoitteet ilmoitetaan erikseen kohdassa 1.2.1.5.</w:t>
            </w:r>
          </w:p>
        </w:tc>
      </w:tr>
      <w:tr w:rsidR="00CC7D2C" w:rsidRPr="002A677E" w14:paraId="4BC336FD" w14:textId="77777777" w:rsidTr="00822842">
        <w:tc>
          <w:tcPr>
            <w:tcW w:w="1129" w:type="dxa"/>
          </w:tcPr>
          <w:p w14:paraId="43B2C7C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tcPr>
          <w:p w14:paraId="3CA71195"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rPr>
                <w:rStyle w:val="InstructionsTabelleberschrift"/>
                <w:rFonts w:ascii="Times New Roman" w:hAnsi="Times New Roman"/>
                <w:sz w:val="24"/>
              </w:rPr>
              <w:tab/>
              <w:t>(-) Suorat toissijaisen pääoman (T2) instrumenttien omistusosuudet</w:t>
            </w:r>
          </w:p>
          <w:p w14:paraId="705A575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63 artiklan b alakohta, 66 artiklan a alakohta ja 67 artikla</w:t>
            </w:r>
          </w:p>
          <w:p w14:paraId="54D6B3F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Tässä tarkoitetaan kohtaan 1.2.1.1 kuuluvia toissijaisen pääoman (T2) instrumentteja, jotka ovat konsolidoidun ryhmän laitosten hallussa, ja toissijaisen pääoman (T2) instrumenttien määriä, jotka on vähennettävä delegoidun asetuksen (EU) N:o 241/2014 28 artiklan 2 kohdan mukaisesti. </w:t>
            </w:r>
          </w:p>
        </w:tc>
      </w:tr>
      <w:tr w:rsidR="00CC7D2C" w:rsidRPr="002A677E" w14:paraId="6AC511C9" w14:textId="77777777" w:rsidTr="00822842">
        <w:tc>
          <w:tcPr>
            <w:tcW w:w="1129" w:type="dxa"/>
          </w:tcPr>
          <w:p w14:paraId="1B21787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0840</w:t>
            </w:r>
          </w:p>
        </w:tc>
        <w:tc>
          <w:tcPr>
            <w:tcW w:w="7620" w:type="dxa"/>
          </w:tcPr>
          <w:p w14:paraId="6E16CD3C"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rPr>
                <w:rStyle w:val="InstructionsTabelleberschrift"/>
                <w:rFonts w:ascii="Times New Roman" w:hAnsi="Times New Roman"/>
                <w:sz w:val="24"/>
              </w:rPr>
              <w:tab/>
              <w:t>(-) Välilliset toissijaisen pääoman (T2) instrumenttien omistusosuudet</w:t>
            </w:r>
          </w:p>
          <w:p w14:paraId="7BCC617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 Asetuksen (EU) N:o 575/2013 4 artiklan 1 kohdan 114 alakohta, 63 artiklan b alakohta, 66 artiklan a alakohta ja 67 artikla</w:t>
            </w:r>
          </w:p>
        </w:tc>
      </w:tr>
      <w:tr w:rsidR="00CC7D2C" w:rsidRPr="002A677E" w14:paraId="49F7D7F3" w14:textId="77777777" w:rsidTr="00822842">
        <w:tc>
          <w:tcPr>
            <w:tcW w:w="1129" w:type="dxa"/>
          </w:tcPr>
          <w:p w14:paraId="2548455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0841</w:t>
            </w:r>
          </w:p>
        </w:tc>
        <w:tc>
          <w:tcPr>
            <w:tcW w:w="7620" w:type="dxa"/>
          </w:tcPr>
          <w:p w14:paraId="6098845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rPr>
                <w:rStyle w:val="InstructionsTabelleberschrift"/>
                <w:rFonts w:ascii="Times New Roman" w:hAnsi="Times New Roman"/>
                <w:sz w:val="24"/>
              </w:rPr>
              <w:tab/>
              <w:t>(-) Synteettiset toissijaisen pääoman (T2) instrumenttien omistusosuudet</w:t>
            </w:r>
          </w:p>
          <w:p w14:paraId="561A4C8E"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Asetuksen (EU) N:o 575/2013 4 artiklan 1 kohdan 126 alakohta, 63 artiklan b alakohta, 66 artiklan a alakohta ja 67 artikla</w:t>
            </w:r>
          </w:p>
        </w:tc>
      </w:tr>
      <w:tr w:rsidR="00CC7D2C" w:rsidRPr="002A677E" w14:paraId="5150E3CB" w14:textId="77777777" w:rsidTr="00822842">
        <w:tc>
          <w:tcPr>
            <w:tcW w:w="1129" w:type="dxa"/>
          </w:tcPr>
          <w:p w14:paraId="4424627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0842</w:t>
            </w:r>
          </w:p>
        </w:tc>
        <w:tc>
          <w:tcPr>
            <w:tcW w:w="7620" w:type="dxa"/>
          </w:tcPr>
          <w:p w14:paraId="42E32DC0" w14:textId="77777777" w:rsidR="00CC7D2C" w:rsidRPr="002A677E" w:rsidRDefault="00CC7D2C" w:rsidP="00320EFD">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rPr>
                <w:rStyle w:val="InstructionsTabelleberschrift"/>
                <w:rFonts w:ascii="Times New Roman" w:hAnsi="Times New Roman"/>
                <w:sz w:val="24"/>
              </w:rPr>
              <w:tab/>
              <w:t xml:space="preserve">(-) Tosiasialliset tai ehdolliset velvoitteet </w:t>
            </w:r>
            <w:proofErr w:type="gramStart"/>
            <w:r>
              <w:rPr>
                <w:rStyle w:val="InstructionsTabelleberschrift"/>
                <w:rFonts w:ascii="Times New Roman" w:hAnsi="Times New Roman"/>
                <w:sz w:val="24"/>
              </w:rPr>
              <w:t>ostaa</w:t>
            </w:r>
            <w:proofErr w:type="gramEnd"/>
            <w:r>
              <w:rPr>
                <w:rStyle w:val="InstructionsTabelleberschrift"/>
                <w:rFonts w:ascii="Times New Roman" w:hAnsi="Times New Roman"/>
                <w:sz w:val="24"/>
              </w:rPr>
              <w:t xml:space="preserve"> omat toissijaisen pääoman (T2) instrumentit</w:t>
            </w:r>
          </w:p>
          <w:p w14:paraId="205EFE8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66 artiklan a alakohta ja 67 artikla</w:t>
            </w:r>
          </w:p>
          <w:p w14:paraId="7756A04F" w14:textId="77777777" w:rsidR="00CC7D2C" w:rsidRPr="002A677E" w:rsidRDefault="00CC7D2C" w:rsidP="00320EFD">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Asetuksen (EU) N:o 575/2013 66 artiklan a alakohdan mukaan ”omat toissijaisen pääoman (T2) instrumentit, jotka laitos voi joutua ostamaan voimassa olevien sopimusvelvoitteiden vuoksi” on vähennettävä.</w:t>
            </w:r>
          </w:p>
        </w:tc>
      </w:tr>
      <w:tr w:rsidR="00CC7D2C" w:rsidRPr="002A677E" w14:paraId="74C787B7" w14:textId="77777777" w:rsidTr="00822842">
        <w:tc>
          <w:tcPr>
            <w:tcW w:w="1129" w:type="dxa"/>
          </w:tcPr>
          <w:p w14:paraId="273FCE9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0880</w:t>
            </w:r>
          </w:p>
        </w:tc>
        <w:tc>
          <w:tcPr>
            <w:tcW w:w="7620" w:type="dxa"/>
          </w:tcPr>
          <w:p w14:paraId="55E4792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rPr>
                <w:rStyle w:val="InstructionsTabelleberschrift"/>
                <w:rFonts w:ascii="Times New Roman" w:hAnsi="Times New Roman"/>
                <w:sz w:val="24"/>
              </w:rPr>
              <w:tab/>
              <w:t xml:space="preserve">Määräajaksi vapautetuista toissijaisen pääoman (T2) instrumenteista aiheutuvat siirtymäkauden oikaisut </w:t>
            </w:r>
          </w:p>
          <w:p w14:paraId="3907A26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483 artiklan 6 ja 7 kohta sekä 484, 486, 488, 490 ja 491 artikla</w:t>
            </w:r>
          </w:p>
          <w:p w14:paraId="74EE4B3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Kohtaan sisällytetään niiden pääomainstrumenttien määrä, jotka on siirtymäkauden aikana vapautettu uusista säännöksistä toissijaisena pääomana (T2). Ilmoitettava määrä saadaan suoraan CA5-lomakkeesta.</w:t>
            </w:r>
          </w:p>
        </w:tc>
      </w:tr>
      <w:tr w:rsidR="00CC7D2C" w:rsidRPr="002A677E" w14:paraId="3804921C" w14:textId="77777777" w:rsidTr="00822842">
        <w:tc>
          <w:tcPr>
            <w:tcW w:w="1129" w:type="dxa"/>
          </w:tcPr>
          <w:p w14:paraId="25AE6D7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0890</w:t>
            </w:r>
          </w:p>
        </w:tc>
        <w:tc>
          <w:tcPr>
            <w:tcW w:w="7620" w:type="dxa"/>
          </w:tcPr>
          <w:p w14:paraId="2FAB57E9"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rPr>
                <w:rStyle w:val="InstructionsTabelleberschrift"/>
                <w:rFonts w:ascii="Times New Roman" w:hAnsi="Times New Roman"/>
                <w:sz w:val="24"/>
              </w:rPr>
              <w:tab/>
              <w:t>Toissijaiseen pääomaan (T2) sisällytetyt tytäryritysten liikkeeseen laskemat instrumentit</w:t>
            </w:r>
          </w:p>
          <w:p w14:paraId="5B58570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83, 87 ja 88 artikla</w:t>
            </w:r>
          </w:p>
          <w:p w14:paraId="670F185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tytäryritysten, ehdot täyttävien omien varojen kaikkien määrien summaa, joka sisältyy konsolidoituun toissijaiseen pääomaan (T2).</w:t>
            </w:r>
          </w:p>
          <w:p w14:paraId="4925539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Erillisyhtiön liikkeeseen laskema ehdot täyttävä toissijainen pääoma (T2) (asetuksen (EU) N:o 575/2013 83 artikla) lasketaan mukaan.</w:t>
            </w:r>
          </w:p>
        </w:tc>
      </w:tr>
      <w:tr w:rsidR="00CC7D2C" w:rsidRPr="002A677E" w14:paraId="664A0254" w14:textId="77777777" w:rsidTr="00822842">
        <w:tc>
          <w:tcPr>
            <w:tcW w:w="1129" w:type="dxa"/>
          </w:tcPr>
          <w:p w14:paraId="2266163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0900</w:t>
            </w:r>
          </w:p>
        </w:tc>
        <w:tc>
          <w:tcPr>
            <w:tcW w:w="7620" w:type="dxa"/>
          </w:tcPr>
          <w:p w14:paraId="416FE26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rPr>
                <w:rStyle w:val="InstructionsTabelleberschrift"/>
                <w:rFonts w:ascii="Times New Roman" w:hAnsi="Times New Roman"/>
                <w:sz w:val="24"/>
              </w:rPr>
              <w:tab/>
              <w:t>Toissijaiseen pääomaan (T2) sisällytetyistä tytäryritysten liikkeeseen laskemista instrumenteista aiheutuvat siirtymäkauden oikaisut</w:t>
            </w:r>
          </w:p>
          <w:p w14:paraId="7C4C49E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480 artikla</w:t>
            </w:r>
          </w:p>
          <w:p w14:paraId="15BBF24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niitä siirtymäsäännöksistä aiheutuvia oikaisuja, jotka kohdistuvat konsolidoituun toissijaiseen pääomaan (T2) sisältyviin ehdot täyttäviin omiin varoihin. Tämä erä saadaan suoraan CA5-lomakkeesta.</w:t>
            </w:r>
          </w:p>
        </w:tc>
      </w:tr>
      <w:tr w:rsidR="00CC7D2C" w:rsidRPr="002A677E" w14:paraId="6A638479" w14:textId="77777777" w:rsidTr="00822842">
        <w:tc>
          <w:tcPr>
            <w:tcW w:w="1129" w:type="dxa"/>
          </w:tcPr>
          <w:p w14:paraId="4048325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0910</w:t>
            </w:r>
          </w:p>
        </w:tc>
        <w:tc>
          <w:tcPr>
            <w:tcW w:w="7620" w:type="dxa"/>
          </w:tcPr>
          <w:p w14:paraId="2CC148E5"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rPr>
                <w:rStyle w:val="InstructionsTabelleberschrift"/>
                <w:rFonts w:ascii="Times New Roman" w:hAnsi="Times New Roman"/>
                <w:sz w:val="24"/>
              </w:rPr>
              <w:tab/>
              <w:t>IRB-ylijäämä, joka ylittää hyväksyttävät odotetut tappiot</w:t>
            </w:r>
          </w:p>
          <w:p w14:paraId="0E163FA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62 artiklan d alakohta</w:t>
            </w:r>
          </w:p>
          <w:p w14:paraId="0693AD1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Niiden laitosten osalta, jotka laskevat riskipainotetut vastuuerät sisäisten luottoluokitusten menetelmän (IRB-menetelmä) mukaisesti, tämän erän on sisällettävä toissijaiseksi pääomaksi (T2) hyväksyttävät positiiviset määrät, jotka syntyvät varausten ja odotettujen tappioiden välisestä vertailusta.</w:t>
            </w:r>
          </w:p>
        </w:tc>
      </w:tr>
      <w:tr w:rsidR="00CC7D2C" w:rsidRPr="002A677E" w14:paraId="408881FB" w14:textId="77777777" w:rsidTr="00822842">
        <w:tc>
          <w:tcPr>
            <w:tcW w:w="1129" w:type="dxa"/>
          </w:tcPr>
          <w:p w14:paraId="06DDF63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0920</w:t>
            </w:r>
          </w:p>
        </w:tc>
        <w:tc>
          <w:tcPr>
            <w:tcW w:w="7620" w:type="dxa"/>
          </w:tcPr>
          <w:p w14:paraId="0C3C6BA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rPr>
                <w:rStyle w:val="InstructionsTabelleberschrift"/>
                <w:rFonts w:ascii="Times New Roman" w:hAnsi="Times New Roman"/>
                <w:sz w:val="24"/>
              </w:rPr>
              <w:tab/>
              <w:t>Yleiset luottoriskioikaisut (standardimenetelmä)</w:t>
            </w:r>
          </w:p>
          <w:p w14:paraId="04FB02A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62 artiklan c alakohta.</w:t>
            </w:r>
          </w:p>
          <w:p w14:paraId="2CA13C0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Niiden laitosten osalta, jotka laskevat riskipainotetut vastuuerät standardimenetelmän mukaisesti, tämän erän on sisällettävä toissijaiseksi pääomaksi (T2) hyväksyttävät yleiset luottoriskioikaisut.</w:t>
            </w:r>
          </w:p>
        </w:tc>
      </w:tr>
      <w:tr w:rsidR="00CC7D2C" w:rsidRPr="002A677E" w14:paraId="38A9300A" w14:textId="77777777" w:rsidTr="00822842">
        <w:tc>
          <w:tcPr>
            <w:tcW w:w="1129" w:type="dxa"/>
          </w:tcPr>
          <w:p w14:paraId="4FEF3ED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0930</w:t>
            </w:r>
          </w:p>
        </w:tc>
        <w:tc>
          <w:tcPr>
            <w:tcW w:w="7620" w:type="dxa"/>
          </w:tcPr>
          <w:p w14:paraId="2849C07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rPr>
                <w:rStyle w:val="InstructionsTabelleberschrift"/>
                <w:rFonts w:ascii="Times New Roman" w:hAnsi="Times New Roman"/>
                <w:sz w:val="24"/>
              </w:rPr>
              <w:tab/>
              <w:t>(-) Toissijaisen pääoman (T2) keskinäiset ristiinomistukset</w:t>
            </w:r>
          </w:p>
          <w:p w14:paraId="3068E48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 artiklan 1 kohdan 122 alakohta, 66 artiklan b alakohta ja 68 artikla</w:t>
            </w:r>
          </w:p>
          <w:p w14:paraId="4313E65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sellaisia omistusosuuksia (asetuksen (EU) N:o 575/2013 4 artiklan 1 kohdan 27 alakohdassa määriteltyjen) finanssialan yhteisöjen toissijaisen pääoman (T2) instrumenteista, joihin liittyy keskinäinen ristiinomistus, jolla toimivaltaisen viranomaisen mielestä pyritään lisäämään keinotekoisesti laitoksen omia varoja.</w:t>
            </w:r>
          </w:p>
          <w:p w14:paraId="6D783C2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 määrä on laskettava pitkien bruttopositioiden perusteella, ja määrään on sisällytettävä luokkaan 2 ja luokkaan 3 sijoitettavat vakuutussektorin omat varat.</w:t>
            </w:r>
          </w:p>
        </w:tc>
      </w:tr>
      <w:tr w:rsidR="00CC7D2C" w:rsidRPr="002A677E" w14:paraId="30FBE5EE" w14:textId="77777777" w:rsidTr="00822842">
        <w:tc>
          <w:tcPr>
            <w:tcW w:w="1129" w:type="dxa"/>
          </w:tcPr>
          <w:p w14:paraId="4DA4B13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0940</w:t>
            </w:r>
          </w:p>
        </w:tc>
        <w:tc>
          <w:tcPr>
            <w:tcW w:w="7620" w:type="dxa"/>
          </w:tcPr>
          <w:p w14:paraId="422EA28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rPr>
                <w:rStyle w:val="InstructionsTabelleberschrift"/>
                <w:rFonts w:ascii="Times New Roman" w:hAnsi="Times New Roman"/>
                <w:sz w:val="24"/>
              </w:rPr>
              <w:tab/>
              <w:t>(-) Finanssialan yhteisöjen toissijaisen pääoman (T2) instrumentit, kun laitoksella ei ole merkittävää sijoitusta näissä yhteisöissä</w:t>
            </w:r>
          </w:p>
          <w:p w14:paraId="121E0D4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 artiklan 1 kohdan 27 alakohta, 66 artiklan c alakohta, 68–70 artikla ja 79 artikla</w:t>
            </w:r>
          </w:p>
          <w:p w14:paraId="25F1314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toissijaisesta pääomasta (T2) vähennettävää osaa omistusosuuksista, jotka laitoksella on sellaisten (asetuksen (EU) N:o 575/2013 4 artiklan 1 kohdan 27 alakohdassa määriteltyjen) finanssialan yhteisöjen instrumenteista, joissa laitoksella ei ole merkittävää sijoitusta.</w:t>
            </w:r>
          </w:p>
        </w:tc>
      </w:tr>
      <w:tr w:rsidR="00CC7D2C" w:rsidRPr="002A677E" w14:paraId="40F8C2BA" w14:textId="77777777" w:rsidTr="00822842">
        <w:tc>
          <w:tcPr>
            <w:tcW w:w="1129" w:type="dxa"/>
          </w:tcPr>
          <w:p w14:paraId="4AB0A85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0950</w:t>
            </w:r>
          </w:p>
        </w:tc>
        <w:tc>
          <w:tcPr>
            <w:tcW w:w="7620" w:type="dxa"/>
          </w:tcPr>
          <w:p w14:paraId="7636D30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rPr>
                <w:rStyle w:val="InstructionsTabelleberschrift"/>
                <w:rFonts w:ascii="Times New Roman" w:hAnsi="Times New Roman"/>
                <w:sz w:val="24"/>
              </w:rPr>
              <w:tab/>
              <w:t>(-) Finanssialan yhteisöjen toissijaisen pääoman (T2) instrumentit, kun laitoksella on merkittävä sijoitus näissä yhteisöissä</w:t>
            </w:r>
          </w:p>
          <w:p w14:paraId="304A303F"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 artiklan 1 kohdan 27 alakohta, 66 artiklan d alakohta sekä 68, 69 ja 79 artikla.</w:t>
            </w:r>
          </w:p>
          <w:p w14:paraId="2929BB0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Omistusosuudet, jotka laitoksella on sellaisten (asetuksen (EU) N:o 575/2013 4 artiklan 1 kohdan 27 alakohdassa määriteltyjen) finanssialan yhteisöjen toissijaisen pääoman (T2) instrumenteista, joissa laitoksella on merkittävä sijoitus, on vähennettävä kokonaan.</w:t>
            </w:r>
          </w:p>
        </w:tc>
      </w:tr>
      <w:tr w:rsidR="00CC7D2C" w:rsidRPr="002A677E" w14:paraId="642376D3" w14:textId="77777777" w:rsidTr="00822842">
        <w:tc>
          <w:tcPr>
            <w:tcW w:w="1129" w:type="dxa"/>
          </w:tcPr>
          <w:p w14:paraId="2253227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0955</w:t>
            </w:r>
          </w:p>
        </w:tc>
        <w:tc>
          <w:tcPr>
            <w:tcW w:w="7620" w:type="dxa"/>
          </w:tcPr>
          <w:p w14:paraId="6A5E720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1.2.9A</w:t>
            </w:r>
            <w:r>
              <w:rPr>
                <w:rStyle w:val="InstructionsTabelleberschrift"/>
                <w:rFonts w:ascii="Times New Roman" w:hAnsi="Times New Roman"/>
                <w:sz w:val="24"/>
              </w:rPr>
              <w:tab/>
              <w:t>(-) Hyväksyttävien velkojen eristä tehtyjen vähennysten määrä, joka ylittää hyväksyttävät velkojen erät</w:t>
            </w:r>
          </w:p>
          <w:p w14:paraId="4449F407"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Asetuksen (EU) N:o 575/2013 66 artiklan e alakohta</w:t>
            </w:r>
          </w:p>
        </w:tc>
      </w:tr>
      <w:tr w:rsidR="00CC7D2C" w:rsidRPr="002A677E" w14:paraId="4C3FB305" w14:textId="77777777" w:rsidTr="00822842">
        <w:tc>
          <w:tcPr>
            <w:tcW w:w="1129" w:type="dxa"/>
          </w:tcPr>
          <w:p w14:paraId="3F92650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0960</w:t>
            </w:r>
          </w:p>
        </w:tc>
        <w:tc>
          <w:tcPr>
            <w:tcW w:w="7620" w:type="dxa"/>
          </w:tcPr>
          <w:p w14:paraId="6E3A985B"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rPr>
                <w:rStyle w:val="InstructionsTabelleberschrift"/>
                <w:rFonts w:ascii="Times New Roman" w:hAnsi="Times New Roman"/>
                <w:sz w:val="24"/>
              </w:rPr>
              <w:tab/>
              <w:t>Muut toissijaista pääomaa (T2) koskevat siirtymäkauden oikaisut</w:t>
            </w:r>
          </w:p>
          <w:p w14:paraId="58F3BA97" w14:textId="13C06246"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472, 476, 477, 478 ja 481 artikla</w:t>
            </w:r>
          </w:p>
          <w:p w14:paraId="194A237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siirtymäsäännöksistä aiheutuvia oikaisuja. Ilmoitettava määrä saadaan suoraan CA5-lomakkeesta.</w:t>
            </w:r>
          </w:p>
        </w:tc>
      </w:tr>
      <w:tr w:rsidR="00CC7D2C" w:rsidRPr="002A677E" w14:paraId="448B7EB5" w14:textId="77777777" w:rsidTr="00822842">
        <w:tc>
          <w:tcPr>
            <w:tcW w:w="1129" w:type="dxa"/>
          </w:tcPr>
          <w:p w14:paraId="42C3AD6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0970</w:t>
            </w:r>
          </w:p>
        </w:tc>
        <w:tc>
          <w:tcPr>
            <w:tcW w:w="7620" w:type="dxa"/>
          </w:tcPr>
          <w:p w14:paraId="67DFC8B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rPr>
                <w:rStyle w:val="InstructionsTabelleberschrift"/>
                <w:rFonts w:ascii="Times New Roman" w:hAnsi="Times New Roman"/>
                <w:sz w:val="24"/>
              </w:rPr>
              <w:tab/>
              <w:t>Toissijaisen pääoman (T2) eristä tehtävät vähennykset, jotka ylittävät toissijaisen pääoman (T2) (vähennetään ensisijaisesta lisäpääomasta (AT1))</w:t>
            </w:r>
          </w:p>
          <w:p w14:paraId="0F240A3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56 artiklan e alakohta.</w:t>
            </w:r>
          </w:p>
          <w:p w14:paraId="74A7E15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Toissijainen pääoma (T2) ei voi olla negatiivinen, mutta toissijaisesta pääomasta (T2) tehtävät vähennykset voivat ylittää toissijaisen pääoman (T2) sekä siihen liittyvän ylikurssirahaston määrän. Kun näin tapahtuu, toissijainen pääoma (T2) on kirjattava nollaksi, ja vähennykset, jotka ylittävät toissijaisen pääoman (T2), on tehtävä ensisijaisesta lisäpääomasta (AT1).</w:t>
            </w:r>
          </w:p>
          <w:p w14:paraId="677D149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Tätä kohtaa käytettäessä kohtien 1.2.1–1.2.13 summa ei ole koskaan alle nolla. Jos tähän kohtaan merkitty luku on positiivinen, kohtaan 1.1.2.8 merkityn luvun oltava negatiivinen.</w:t>
            </w:r>
          </w:p>
        </w:tc>
      </w:tr>
      <w:tr w:rsidR="00CC7D2C" w:rsidRPr="002A677E" w14:paraId="12D626E6" w14:textId="77777777" w:rsidTr="00822842">
        <w:tc>
          <w:tcPr>
            <w:tcW w:w="1129" w:type="dxa"/>
          </w:tcPr>
          <w:p w14:paraId="3688B2C8" w14:textId="77777777" w:rsidR="00CC7D2C" w:rsidRPr="001235ED" w:rsidDel="00BD687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0974</w:t>
            </w:r>
          </w:p>
        </w:tc>
        <w:tc>
          <w:tcPr>
            <w:tcW w:w="7620" w:type="dxa"/>
          </w:tcPr>
          <w:p w14:paraId="353F7202"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rPr>
                <w:rStyle w:val="InstructionsTabelleberschrift"/>
                <w:rFonts w:ascii="Times New Roman" w:hAnsi="Times New Roman"/>
                <w:sz w:val="24"/>
              </w:rPr>
              <w:tab/>
              <w:t>(-) Asetuksen (EU) N:o 575/2013 3 artiklan nojalla tehtävät ydinpääoman (T2) lisävähennykset</w:t>
            </w:r>
          </w:p>
          <w:p w14:paraId="5E0577EA"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Asetuksen (EU) N:o 575/2013 3 artikla</w:t>
            </w:r>
          </w:p>
        </w:tc>
      </w:tr>
      <w:tr w:rsidR="00CC7D2C" w:rsidRPr="002A677E" w14:paraId="597E0397" w14:textId="77777777" w:rsidTr="00822842">
        <w:tc>
          <w:tcPr>
            <w:tcW w:w="1129" w:type="dxa"/>
          </w:tcPr>
          <w:p w14:paraId="3C9F05B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0978</w:t>
            </w:r>
          </w:p>
        </w:tc>
        <w:tc>
          <w:tcPr>
            <w:tcW w:w="7620" w:type="dxa"/>
          </w:tcPr>
          <w:p w14:paraId="3BAA43B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rPr>
                <w:rStyle w:val="InstructionsTabelleberschrift"/>
                <w:rFonts w:ascii="Times New Roman" w:hAnsi="Times New Roman"/>
                <w:sz w:val="24"/>
              </w:rPr>
              <w:tab/>
              <w:t xml:space="preserve">Muut toissijaisen pääoman (T2) osatekijät tai vähennykset </w:t>
            </w:r>
          </w:p>
          <w:p w14:paraId="0DF4E3AE"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Tämä rivi on luotu yksinomaan raportoinnin joustavoimiseksi. Riviä käytetään vain niissä harvinaisissa tilanteissa, joissa ei ole tehty lopullista päätöstä tiettyjen pääomaerien/-vähennysten ilmoittamisesta tässä CA1-lomakkeessa. Näin ollen tätä riviä käytetään vain silloin, kun toissijaisen pääoman (T2) osatekijää tai toissijaisen pääoman (T2) osatekijästä tehtävää vähennystä ei voida kirjata jollekin riveistä 750–974. </w:t>
            </w:r>
          </w:p>
          <w:p w14:paraId="06CF4B07"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Tätä riviä ei saa käyttää siihen, että vakavaraisuussuhdelukujen laskentaan otetaan mukaan asetuksen (EU) N:o 575/2013 soveltamisalaan kuulumattomia pääomaeriä/-vähennyksiä (kuten kyseisen asetuksen soveltamisalan kuulumattomia kansallisia pääomaeriä/-vähennyksiä).</w:t>
            </w:r>
          </w:p>
        </w:tc>
      </w:tr>
    </w:tbl>
    <w:p w14:paraId="525C8C99" w14:textId="77777777" w:rsidR="00CC7D2C" w:rsidRPr="002A677E" w:rsidRDefault="00CC7D2C" w:rsidP="00320EFD">
      <w:pPr>
        <w:pStyle w:val="InstructionsText"/>
      </w:pPr>
    </w:p>
    <w:p w14:paraId="438AB421" w14:textId="77777777" w:rsidR="00CC7D2C" w:rsidRPr="002A677E" w:rsidRDefault="00CC7D2C" w:rsidP="00D1404A">
      <w:pPr>
        <w:pStyle w:val="Instructionsberschrift2"/>
        <w:numPr>
          <w:ilvl w:val="0"/>
          <w:numId w:val="0"/>
        </w:numPr>
        <w:ind w:left="357" w:hanging="357"/>
      </w:pPr>
      <w:bookmarkStart w:id="19" w:name="_Toc473560875"/>
      <w:bookmarkStart w:id="20" w:name="_Toc151714363"/>
      <w:bookmarkStart w:id="21" w:name="_Toc308175823"/>
      <w:bookmarkStart w:id="22" w:name="_Toc360188327"/>
      <w:r>
        <w:rPr>
          <w:u w:val="none"/>
        </w:rPr>
        <w:t>1.3.</w:t>
      </w:r>
      <w:r>
        <w:rPr>
          <w:u w:val="none"/>
        </w:rPr>
        <w:tab/>
      </w:r>
      <w:r>
        <w:t>C 02.00 – OMIEN VAROJEN VAATIMUKSET (CA2)</w:t>
      </w:r>
      <w:bookmarkEnd w:id="19"/>
      <w:bookmarkEnd w:id="20"/>
      <w:r>
        <w:t xml:space="preserve"> </w:t>
      </w:r>
      <w:bookmarkEnd w:id="21"/>
      <w:bookmarkEnd w:id="22"/>
    </w:p>
    <w:p w14:paraId="3B2D3B11" w14:textId="77777777" w:rsidR="00CC7D2C" w:rsidRDefault="00CC7D2C" w:rsidP="00D1404A">
      <w:pPr>
        <w:pStyle w:val="Instructionsberschrift2"/>
        <w:numPr>
          <w:ilvl w:val="0"/>
          <w:numId w:val="0"/>
        </w:numPr>
        <w:ind w:left="357" w:hanging="357"/>
      </w:pPr>
      <w:bookmarkStart w:id="23" w:name="_Toc308175824"/>
      <w:bookmarkStart w:id="24" w:name="_Toc310414970"/>
      <w:bookmarkStart w:id="25" w:name="_Toc360188328"/>
      <w:bookmarkStart w:id="26" w:name="_Toc473560876"/>
      <w:bookmarkStart w:id="27" w:name="_Toc151714364"/>
      <w:r>
        <w:rPr>
          <w:u w:val="none"/>
        </w:rPr>
        <w:t>1.3.1.</w:t>
      </w:r>
      <w:r>
        <w:rPr>
          <w:u w:val="none"/>
        </w:rPr>
        <w:tab/>
      </w:r>
      <w:r>
        <w:t>Positiokohtaiset ohjeet</w:t>
      </w:r>
      <w:bookmarkEnd w:id="23"/>
      <w:bookmarkEnd w:id="24"/>
      <w:bookmarkEnd w:id="25"/>
      <w:bookmarkEnd w:id="26"/>
      <w:bookmarkEnd w:id="27"/>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CC7D2C" w:rsidRPr="002A677E" w14:paraId="15DFC929" w14:textId="77777777" w:rsidTr="00822842">
        <w:tc>
          <w:tcPr>
            <w:tcW w:w="1591" w:type="dxa"/>
            <w:shd w:val="clear" w:color="auto" w:fill="D9D9D9"/>
          </w:tcPr>
          <w:p w14:paraId="513FD64A" w14:textId="77777777" w:rsidR="00CC7D2C" w:rsidRPr="002A677E" w:rsidRDefault="00CC7D2C" w:rsidP="00320EFD">
            <w:pPr>
              <w:pStyle w:val="InstructionsText"/>
            </w:pPr>
            <w:r>
              <w:t>Sarakkeet</w:t>
            </w:r>
          </w:p>
        </w:tc>
        <w:tc>
          <w:tcPr>
            <w:tcW w:w="7274" w:type="dxa"/>
            <w:shd w:val="clear" w:color="auto" w:fill="D9D9D9"/>
          </w:tcPr>
          <w:p w14:paraId="190CA9EE" w14:textId="77777777" w:rsidR="00CC7D2C" w:rsidRPr="002A677E" w:rsidRDefault="00CC7D2C" w:rsidP="00320EFD">
            <w:pPr>
              <w:pStyle w:val="InstructionsText"/>
            </w:pPr>
            <w:r>
              <w:t>Lainsäädäntöviittaukset ja ohjeet</w:t>
            </w:r>
          </w:p>
        </w:tc>
      </w:tr>
      <w:tr w:rsidR="00CC7D2C" w:rsidRPr="002A677E" w14:paraId="7F96D842" w14:textId="77777777" w:rsidTr="00822842">
        <w:tc>
          <w:tcPr>
            <w:tcW w:w="1591" w:type="dxa"/>
          </w:tcPr>
          <w:p w14:paraId="4534D820" w14:textId="77777777" w:rsidR="00CC7D2C" w:rsidRPr="002A677E" w:rsidRDefault="00CC7D2C" w:rsidP="00320EFD">
            <w:pPr>
              <w:pStyle w:val="InstructionsText"/>
            </w:pPr>
            <w:r>
              <w:t>0010</w:t>
            </w:r>
          </w:p>
        </w:tc>
        <w:tc>
          <w:tcPr>
            <w:tcW w:w="7274" w:type="dxa"/>
          </w:tcPr>
          <w:p w14:paraId="1754203D" w14:textId="77777777" w:rsidR="00CC7D2C" w:rsidRPr="002A677E" w:rsidRDefault="00CC7D2C" w:rsidP="00320EFD">
            <w:pPr>
              <w:pStyle w:val="InstructionsText"/>
            </w:pPr>
            <w:r>
              <w:rPr>
                <w:rStyle w:val="InstructionsTabelleberschrift"/>
                <w:rFonts w:ascii="Times New Roman" w:hAnsi="Times New Roman"/>
                <w:sz w:val="24"/>
              </w:rPr>
              <w:t>KOKONAISRISKIN MÄÄRÄ (TREA)</w:t>
            </w:r>
          </w:p>
          <w:p w14:paraId="11658B1F" w14:textId="77777777" w:rsidR="00CC7D2C" w:rsidRPr="002A677E" w:rsidRDefault="00CC7D2C" w:rsidP="00320EFD">
            <w:pPr>
              <w:pStyle w:val="InstructionsText"/>
            </w:pPr>
            <w:r>
              <w:t>Asetuksen (EU) N:o 575/2013 92 artiklan 3 kohta sekä 95, 96 ja 98 artikla</w:t>
            </w:r>
          </w:p>
        </w:tc>
      </w:tr>
      <w:tr w:rsidR="00CC7D2C" w:rsidRPr="002A677E" w14:paraId="2613C879" w14:textId="77777777" w:rsidTr="00822842">
        <w:tc>
          <w:tcPr>
            <w:tcW w:w="1591" w:type="dxa"/>
          </w:tcPr>
          <w:p w14:paraId="58F35E6D" w14:textId="77777777" w:rsidR="00CC7D2C" w:rsidRPr="002A677E" w:rsidRDefault="00CC7D2C" w:rsidP="00320EFD">
            <w:pPr>
              <w:pStyle w:val="InstructionsText"/>
            </w:pPr>
            <w:r>
              <w:t>0020</w:t>
            </w:r>
          </w:p>
        </w:tc>
        <w:tc>
          <w:tcPr>
            <w:tcW w:w="7274" w:type="dxa"/>
          </w:tcPr>
          <w:p w14:paraId="0B7A5E95" w14:textId="77777777" w:rsidR="00CC7D2C" w:rsidRPr="002A677E" w:rsidRDefault="00CC7D2C" w:rsidP="00320EFD">
            <w:pPr>
              <w:pStyle w:val="InstructionsText"/>
            </w:pPr>
            <w:r>
              <w:rPr>
                <w:rStyle w:val="InstructionsTabelleberschrift"/>
                <w:rFonts w:ascii="Times New Roman" w:hAnsi="Times New Roman"/>
                <w:sz w:val="24"/>
              </w:rPr>
              <w:t>S-TREA:N KOKONAISRISKIPAINOLATTIA</w:t>
            </w:r>
          </w:p>
          <w:p w14:paraId="1D5124AF" w14:textId="2240D9CF" w:rsidR="00CC7D2C" w:rsidRDefault="00C32586" w:rsidP="00320EFD">
            <w:pPr>
              <w:pStyle w:val="InstructionsText"/>
            </w:pPr>
            <w:r>
              <w:t>Laitosten, joihin sovelletaan asetuksen (EU) N:o 575/2013 92 artiklan 3 kohdan mukaista kokonaisriskipainolattiaa, on ilmoitettava 92 artiklan 5 kohdan mukaisesti laskettu standardoitu kokonaisriskin määrä (S-TREA). Tätä saraketta sovelletaan ainoastaan sisäisiä malleja käyttäviin laitoksiin.</w:t>
            </w:r>
          </w:p>
          <w:p w14:paraId="4831FC09" w14:textId="08537DA3" w:rsidR="00585ABC" w:rsidRDefault="00585ABC" w:rsidP="00320EFD">
            <w:pPr>
              <w:pStyle w:val="InstructionsText"/>
            </w:pPr>
            <w:r>
              <w:lastRenderedPageBreak/>
              <w:t>Riveillä, joilla riskipainotettujen vastuuerien laskemiseen käytetään sisäisten mallien menetelmiä, ilmoitetaan vastuuerien standardisoidut määrät.</w:t>
            </w:r>
          </w:p>
          <w:p w14:paraId="708B2B94" w14:textId="2316755B" w:rsidR="00585ABC" w:rsidRPr="002A677E" w:rsidRDefault="00585ABC" w:rsidP="00320EFD">
            <w:pPr>
              <w:pStyle w:val="InstructionsText"/>
            </w:pPr>
            <w:r>
              <w:t>Riveillä, joilla riskipainotettujen vastuuerien laskemiseen käytetään standardimenetelmiä, ilmoitetaan vastuuerien osalta samat määrät kuin sarakkeessa 0010.</w:t>
            </w:r>
          </w:p>
        </w:tc>
      </w:tr>
    </w:tbl>
    <w:p w14:paraId="463DA206" w14:textId="77777777" w:rsidR="00CC7D2C" w:rsidRPr="002A677E" w:rsidRDefault="00CC7D2C" w:rsidP="00CC7D2C">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CC7D2C" w:rsidRPr="002A677E" w14:paraId="7F6FFF94" w14:textId="77777777" w:rsidTr="00822842">
        <w:tc>
          <w:tcPr>
            <w:tcW w:w="1591" w:type="dxa"/>
            <w:shd w:val="clear" w:color="auto" w:fill="D9D9D9" w:themeFill="background1" w:themeFillShade="D9"/>
          </w:tcPr>
          <w:p w14:paraId="457D9A2B" w14:textId="77777777" w:rsidR="00CC7D2C" w:rsidRPr="002A677E" w:rsidRDefault="00CC7D2C" w:rsidP="00320EFD">
            <w:pPr>
              <w:pStyle w:val="InstructionsText"/>
            </w:pPr>
            <w:r>
              <w:t>Rivi</w:t>
            </w:r>
          </w:p>
        </w:tc>
        <w:tc>
          <w:tcPr>
            <w:tcW w:w="7274" w:type="dxa"/>
            <w:shd w:val="clear" w:color="auto" w:fill="D9D9D9" w:themeFill="background1" w:themeFillShade="D9"/>
          </w:tcPr>
          <w:p w14:paraId="7E90433A" w14:textId="77777777" w:rsidR="00CC7D2C" w:rsidRPr="002A677E" w:rsidRDefault="00CC7D2C" w:rsidP="00320EFD">
            <w:pPr>
              <w:pStyle w:val="InstructionsText"/>
            </w:pPr>
            <w:r>
              <w:t>Lainsäädäntöviittaukset ja ohjeet</w:t>
            </w:r>
          </w:p>
        </w:tc>
      </w:tr>
      <w:tr w:rsidR="00CC7D2C" w:rsidRPr="002A677E" w14:paraId="6A905D22" w14:textId="77777777" w:rsidTr="00822842">
        <w:tc>
          <w:tcPr>
            <w:tcW w:w="1591" w:type="dxa"/>
          </w:tcPr>
          <w:p w14:paraId="06ACC62F" w14:textId="77777777" w:rsidR="00CC7D2C" w:rsidRPr="002A677E" w:rsidRDefault="00CC7D2C" w:rsidP="00320EFD">
            <w:pPr>
              <w:pStyle w:val="InstructionsText"/>
            </w:pPr>
            <w:r>
              <w:t>0010</w:t>
            </w:r>
          </w:p>
        </w:tc>
        <w:tc>
          <w:tcPr>
            <w:tcW w:w="7274" w:type="dxa"/>
          </w:tcPr>
          <w:p w14:paraId="2D3B9E77" w14:textId="77777777" w:rsidR="00CC7D2C" w:rsidRPr="002A677E" w:rsidRDefault="00CC7D2C" w:rsidP="00320EFD">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KOKONAISRISKIN MÄÄRÄ</w:t>
            </w:r>
          </w:p>
          <w:p w14:paraId="633B0735" w14:textId="77777777" w:rsidR="00CC7D2C" w:rsidRPr="002A677E" w:rsidRDefault="00CC7D2C" w:rsidP="00320EFD">
            <w:pPr>
              <w:pStyle w:val="InstructionsText"/>
            </w:pPr>
            <w:r>
              <w:t>Asetuksen (EU) N:o 575/2013 92 artiklan 3 kohta sekä 95, 96 ja 98 artikla</w:t>
            </w:r>
          </w:p>
        </w:tc>
      </w:tr>
      <w:tr w:rsidR="00CC7D2C" w:rsidRPr="002A677E" w14:paraId="30DD54FA" w14:textId="77777777" w:rsidTr="00822842">
        <w:tc>
          <w:tcPr>
            <w:tcW w:w="1591" w:type="dxa"/>
          </w:tcPr>
          <w:p w14:paraId="3F51DC3C" w14:textId="77777777" w:rsidR="00CC7D2C" w:rsidRPr="002A677E" w:rsidRDefault="00CC7D2C" w:rsidP="00320EFD">
            <w:pPr>
              <w:pStyle w:val="InstructionsText"/>
            </w:pPr>
            <w:r>
              <w:t>0020</w:t>
            </w:r>
          </w:p>
        </w:tc>
        <w:tc>
          <w:tcPr>
            <w:tcW w:w="7274" w:type="dxa"/>
          </w:tcPr>
          <w:p w14:paraId="427ABF71" w14:textId="77777777" w:rsidR="00CC7D2C" w:rsidRPr="002A677E" w:rsidRDefault="00CC7D2C" w:rsidP="00320EFD">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Josta: Asetuksen (EU) N:o 575/2013 95 artiklan 2 kohdassa ja 98 artiklassa tarkoitettujen sijoituspalveluyritysten osuus</w:t>
            </w:r>
          </w:p>
          <w:p w14:paraId="7A0F1D20" w14:textId="77777777" w:rsidR="00CC7D2C" w:rsidRPr="002A677E" w:rsidRDefault="00CC7D2C" w:rsidP="00320EFD">
            <w:pPr>
              <w:pStyle w:val="InstructionsText"/>
            </w:pPr>
            <w:r>
              <w:rPr>
                <w:rStyle w:val="FormatvorlageInstructionsTabelleText"/>
                <w:rFonts w:ascii="Times New Roman" w:hAnsi="Times New Roman"/>
                <w:sz w:val="24"/>
              </w:rPr>
              <w:t>Tämä kohta koskee sijoituspalveluyrityksiä, jotka kuuluvat asetuksen (EU) N:o 575/2013 95 artiklan 2 kohdan ja 98 artiklan soveltamisalaan.</w:t>
            </w:r>
          </w:p>
        </w:tc>
      </w:tr>
      <w:tr w:rsidR="00CC7D2C" w:rsidRPr="002A677E" w14:paraId="0735DAB8" w14:textId="77777777" w:rsidTr="00822842">
        <w:tc>
          <w:tcPr>
            <w:tcW w:w="1591" w:type="dxa"/>
          </w:tcPr>
          <w:p w14:paraId="3611DA81" w14:textId="77777777" w:rsidR="00CC7D2C" w:rsidRPr="002A677E" w:rsidRDefault="00CC7D2C" w:rsidP="00320EFD">
            <w:pPr>
              <w:pStyle w:val="InstructionsText"/>
            </w:pPr>
            <w:r>
              <w:t>0030</w:t>
            </w:r>
          </w:p>
        </w:tc>
        <w:tc>
          <w:tcPr>
            <w:tcW w:w="7274" w:type="dxa"/>
          </w:tcPr>
          <w:p w14:paraId="65F85EFA" w14:textId="77777777" w:rsidR="00CC7D2C" w:rsidRPr="002A677E" w:rsidRDefault="00CC7D2C" w:rsidP="00320EFD">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Josta: Asetuksen (EU) N:o 575/2013 96 artiklan 2 kohdassa ja 97 artiklassa tarkoitettujen sijoituspalveluyritysten osuus</w:t>
            </w:r>
          </w:p>
          <w:p w14:paraId="04608E0A" w14:textId="77777777" w:rsidR="00CC7D2C" w:rsidRPr="002A677E" w:rsidRDefault="00CC7D2C" w:rsidP="00320EFD">
            <w:pPr>
              <w:pStyle w:val="InstructionsText"/>
            </w:pPr>
            <w:r>
              <w:rPr>
                <w:rStyle w:val="FormatvorlageInstructionsTabelleText"/>
                <w:rFonts w:ascii="Times New Roman" w:hAnsi="Times New Roman"/>
                <w:sz w:val="24"/>
              </w:rPr>
              <w:t>Tämä kohta koskee sijoituspalveluyrityksiä, jotka kuuluvat asetuksen (EU) N:o 575/2013 96 artiklan 2 kohdan ja 97 artiklan soveltamisalaan.</w:t>
            </w:r>
          </w:p>
        </w:tc>
      </w:tr>
      <w:tr w:rsidR="00CC7D2C" w:rsidRPr="002A677E" w14:paraId="0E4D7646" w14:textId="77777777" w:rsidTr="00822842">
        <w:tc>
          <w:tcPr>
            <w:tcW w:w="1591" w:type="dxa"/>
          </w:tcPr>
          <w:p w14:paraId="38148A74" w14:textId="77777777" w:rsidR="00CC7D2C" w:rsidRPr="002A677E" w:rsidRDefault="00CC7D2C" w:rsidP="00320EFD">
            <w:pPr>
              <w:pStyle w:val="InstructionsText"/>
            </w:pPr>
            <w:r>
              <w:rPr>
                <w:rStyle w:val="FormatvorlageInstructionsTabelleText"/>
                <w:rFonts w:ascii="Times New Roman" w:hAnsi="Times New Roman"/>
                <w:sz w:val="24"/>
              </w:rPr>
              <w:t>0035</w:t>
            </w:r>
          </w:p>
        </w:tc>
        <w:tc>
          <w:tcPr>
            <w:tcW w:w="7274" w:type="dxa"/>
          </w:tcPr>
          <w:p w14:paraId="0710542B" w14:textId="77777777" w:rsidR="00CC7D2C" w:rsidRPr="002A677E" w:rsidRDefault="00CC7D2C" w:rsidP="00320EFD">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Josta: lattian mukautus</w:t>
            </w:r>
          </w:p>
          <w:p w14:paraId="1879A8CD" w14:textId="65429001" w:rsidR="00CC7D2C" w:rsidRPr="002A677E" w:rsidRDefault="00A8011A" w:rsidP="00320EFD">
            <w:pPr>
              <w:pStyle w:val="InstructionsText"/>
              <w:rPr>
                <w:rStyle w:val="InstructionsTabelleberschrift"/>
                <w:rFonts w:ascii="Times New Roman" w:hAnsi="Times New Roman"/>
                <w:sz w:val="24"/>
              </w:rPr>
            </w:pPr>
            <w:r>
              <w:t>Laitosten, joihin sovelletaan asetuksen (EU) N:o 575/2013 92 artiklan 3 kohdan mukaista kokonaisriskipainolattiaa, on ilmoitettava rivillä 0010 ilmoitetun määrän ja rivillä 0036 ilmoitetun määrän välinen erotus. Määrä voi olla joko positiivinen tai nolla.</w:t>
            </w:r>
          </w:p>
        </w:tc>
      </w:tr>
      <w:tr w:rsidR="00CC7D2C" w:rsidRPr="002A677E" w14:paraId="0490D187" w14:textId="77777777" w:rsidTr="00822842">
        <w:tc>
          <w:tcPr>
            <w:tcW w:w="1591" w:type="dxa"/>
          </w:tcPr>
          <w:p w14:paraId="4CBF1EF1" w14:textId="77777777" w:rsidR="00CC7D2C" w:rsidRPr="002A677E" w:rsidRDefault="00CC7D2C" w:rsidP="00320EFD">
            <w:pPr>
              <w:pStyle w:val="InstructionsText"/>
            </w:pPr>
            <w:r>
              <w:rPr>
                <w:rStyle w:val="FormatvorlageInstructionsTabelleText"/>
                <w:rFonts w:ascii="Times New Roman" w:hAnsi="Times New Roman"/>
                <w:sz w:val="24"/>
              </w:rPr>
              <w:t>0036</w:t>
            </w:r>
          </w:p>
        </w:tc>
        <w:tc>
          <w:tcPr>
            <w:tcW w:w="7274" w:type="dxa"/>
          </w:tcPr>
          <w:p w14:paraId="5B12D047" w14:textId="543C58BD" w:rsidR="00CC7D2C" w:rsidRDefault="00C32586"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1a KOKONAISRISKIN MÄÄRÄ ENNEN LATTIAA</w:t>
            </w:r>
          </w:p>
          <w:p w14:paraId="7BCD0DA1" w14:textId="04714494" w:rsidR="00CC7D2C" w:rsidRPr="002A677E" w:rsidRDefault="00A8011A" w:rsidP="00320EFD">
            <w:pPr>
              <w:pStyle w:val="InstructionsText"/>
              <w:rPr>
                <w:rStyle w:val="InstructionsTabelleberschrift"/>
                <w:rFonts w:ascii="Times New Roman" w:hAnsi="Times New Roman"/>
                <w:sz w:val="24"/>
              </w:rPr>
            </w:pPr>
            <w:r>
              <w:t>Laitosten, joihin sovelletaan asetuksen (EU) N:o 575/2013 92 artiklan 3 kohdan mukaista kokonaisriskipainolattiaa, on ilmoitettava lattiattoman kokonaisriskin määrä sellaisena kuin se on määriteltynä asetuksen (EU) N:o 575/2013 92 artiklan 4 kohdassa.</w:t>
            </w:r>
          </w:p>
        </w:tc>
      </w:tr>
      <w:tr w:rsidR="00CC7D2C" w:rsidRPr="002A677E" w14:paraId="7CE92C62" w14:textId="77777777" w:rsidTr="00822842">
        <w:tc>
          <w:tcPr>
            <w:tcW w:w="1591" w:type="dxa"/>
          </w:tcPr>
          <w:p w14:paraId="42C2DB3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274" w:type="dxa"/>
          </w:tcPr>
          <w:p w14:paraId="4860CF81"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rPr>
                <w:rStyle w:val="InstructionsTabelleberschrift"/>
                <w:rFonts w:ascii="Times New Roman" w:hAnsi="Times New Roman"/>
                <w:sz w:val="24"/>
              </w:rPr>
              <w:tab/>
              <w:t>LUOTTO-, VASTAPUOLI- JA LAIMENTUMISRISKIEN SEKÄ LUOTTOKAUPAN SELVITYSRISKIN RISKIPAINOTETUT VASTUUERÄT</w:t>
            </w:r>
          </w:p>
          <w:p w14:paraId="450571BD" w14:textId="6E602D68"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92 artiklan 3 kohta ja 92 artiklan 4 kohdan a alakohta</w:t>
            </w:r>
          </w:p>
        </w:tc>
      </w:tr>
      <w:tr w:rsidR="00CC7D2C" w:rsidRPr="002A677E" w14:paraId="4731F084" w14:textId="77777777" w:rsidTr="00822842">
        <w:tc>
          <w:tcPr>
            <w:tcW w:w="1591" w:type="dxa"/>
          </w:tcPr>
          <w:p w14:paraId="1858ABC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274" w:type="dxa"/>
          </w:tcPr>
          <w:p w14:paraId="1CC3CF9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Pr>
                <w:rStyle w:val="InstructionsTabelleberschrift"/>
                <w:rFonts w:ascii="Times New Roman" w:hAnsi="Times New Roman"/>
                <w:sz w:val="24"/>
              </w:rPr>
              <w:tab/>
              <w:t>Standardimenetelmä (SA)</w:t>
            </w:r>
          </w:p>
          <w:p w14:paraId="1EFF677D" w14:textId="77777777" w:rsidR="00CC7D2C" w:rsidRPr="002A677E" w:rsidRDefault="00CC7D2C" w:rsidP="00320EFD">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CR SA -lomaketta ja SEC SA -lomaketta sovelletaan vastuiden yhteismäärän tasolla.</w:t>
            </w:r>
          </w:p>
        </w:tc>
      </w:tr>
      <w:tr w:rsidR="00CC7D2C" w:rsidRPr="002A677E" w14:paraId="164F9776" w14:textId="77777777" w:rsidTr="00822842">
        <w:tc>
          <w:tcPr>
            <w:tcW w:w="1591" w:type="dxa"/>
          </w:tcPr>
          <w:p w14:paraId="61E4C41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0051</w:t>
            </w:r>
          </w:p>
        </w:tc>
        <w:tc>
          <w:tcPr>
            <w:tcW w:w="7274" w:type="dxa"/>
          </w:tcPr>
          <w:p w14:paraId="2043221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Pr>
                <w:rStyle w:val="InstructionsTabelleberschrift"/>
                <w:rFonts w:ascii="Times New Roman" w:hAnsi="Times New Roman"/>
                <w:sz w:val="24"/>
              </w:rPr>
              <w:tab/>
              <w:t>Josta: Asetuksen (EU) N:o 575/2013 124 artiklaan perustuvat tiukemmat vakavaraisuusvaatimukset</w:t>
            </w:r>
          </w:p>
          <w:p w14:paraId="4A7F7245" w14:textId="3BCE1E49" w:rsidR="00CC7D2C" w:rsidRPr="002A677E" w:rsidRDefault="00CC7D2C" w:rsidP="00320EFD">
            <w:pPr>
              <w:pStyle w:val="InstructionsText"/>
              <w:rPr>
                <w:rStyle w:val="InstructionsTabelleberschrift"/>
                <w:rFonts w:ascii="Times New Roman" w:hAnsi="Times New Roman"/>
                <w:sz w:val="24"/>
              </w:rPr>
            </w:pPr>
            <w:r>
              <w:t xml:space="preserve">Laitosten on ilmoitettava ylimääräiset riskin määrät, jotka ovat tarpeen laitoksille </w:t>
            </w:r>
            <w:proofErr w:type="spellStart"/>
            <w:r>
              <w:t>EPV:n</w:t>
            </w:r>
            <w:proofErr w:type="spellEnd"/>
            <w:r>
              <w:t xml:space="preserve"> kuulemisen jälkeen ilmoitettujen asetuksen (EU) N:o 575/2013 124 artiklan 8–13 kohdan mukaisten tiukempien vakavaraisuusvaatimusten noudattamiseksi.</w:t>
            </w:r>
          </w:p>
        </w:tc>
      </w:tr>
      <w:tr w:rsidR="00CC7D2C" w:rsidRPr="002A677E" w14:paraId="3EBE6B21" w14:textId="77777777" w:rsidTr="00822842">
        <w:tc>
          <w:tcPr>
            <w:tcW w:w="1591" w:type="dxa"/>
          </w:tcPr>
          <w:p w14:paraId="06724DE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274" w:type="dxa"/>
          </w:tcPr>
          <w:p w14:paraId="6A236E0F" w14:textId="77777777" w:rsidR="00CC7D2C" w:rsidRPr="00984406"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rPr>
                <w:rStyle w:val="InstructionsTabelleberschrift"/>
                <w:rFonts w:ascii="Times New Roman" w:hAnsi="Times New Roman"/>
                <w:sz w:val="24"/>
              </w:rPr>
              <w:tab/>
              <w:t xml:space="preserve">Standardimenetelmän mukaiset vastuuryhmät pois lukien </w:t>
            </w:r>
            <w:proofErr w:type="spellStart"/>
            <w:r>
              <w:rPr>
                <w:rStyle w:val="InstructionsTabelleberschrift"/>
                <w:rFonts w:ascii="Times New Roman" w:hAnsi="Times New Roman"/>
                <w:sz w:val="24"/>
              </w:rPr>
              <w:t>arvopaperistamispositiot</w:t>
            </w:r>
            <w:proofErr w:type="spellEnd"/>
          </w:p>
          <w:p w14:paraId="6C4218C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CR SA -lomaketta sovelletaan vastuiden yhteismäärän tasolla. Standardimenetelmän mukaiset vastuuryhmät ovat samat kuin asetuksen (EU) N:o 575/2013 112 artiklassa, mutta niihin ei kuulu </w:t>
            </w:r>
            <w:proofErr w:type="spellStart"/>
            <w:r>
              <w:rPr>
                <w:rStyle w:val="FormatvorlageInstructionsTabelleText"/>
                <w:rFonts w:ascii="Times New Roman" w:hAnsi="Times New Roman"/>
                <w:sz w:val="24"/>
              </w:rPr>
              <w:t>arvopaperistamispositioita</w:t>
            </w:r>
            <w:proofErr w:type="spellEnd"/>
            <w:r>
              <w:rPr>
                <w:rStyle w:val="FormatvorlageInstructionsTabelleText"/>
                <w:rFonts w:ascii="Times New Roman" w:hAnsi="Times New Roman"/>
                <w:sz w:val="24"/>
              </w:rPr>
              <w:t>.</w:t>
            </w:r>
          </w:p>
        </w:tc>
      </w:tr>
      <w:tr w:rsidR="00CC7D2C" w:rsidRPr="002A677E" w14:paraId="3611F5D6" w14:textId="77777777" w:rsidTr="00822842">
        <w:tc>
          <w:tcPr>
            <w:tcW w:w="1591" w:type="dxa"/>
          </w:tcPr>
          <w:p w14:paraId="2A20B82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274" w:type="dxa"/>
          </w:tcPr>
          <w:p w14:paraId="444601AB"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rPr>
                <w:rStyle w:val="InstructionsTabelleberschrift"/>
                <w:rFonts w:ascii="Times New Roman" w:hAnsi="Times New Roman"/>
                <w:sz w:val="24"/>
              </w:rPr>
              <w:tab/>
              <w:t>Valtiot tai keskuspankit</w:t>
            </w:r>
          </w:p>
          <w:p w14:paraId="4CBAD1DD"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Ks. CR SA -lomake.</w:t>
            </w:r>
          </w:p>
        </w:tc>
      </w:tr>
      <w:tr w:rsidR="00CC7D2C" w:rsidRPr="002A677E" w14:paraId="723BD91B" w14:textId="77777777" w:rsidTr="00822842">
        <w:tc>
          <w:tcPr>
            <w:tcW w:w="1591" w:type="dxa"/>
          </w:tcPr>
          <w:p w14:paraId="6A10D17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274" w:type="dxa"/>
          </w:tcPr>
          <w:p w14:paraId="2240509E"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rPr>
                <w:rStyle w:val="InstructionsTabelleberschrift"/>
                <w:rFonts w:ascii="Times New Roman" w:hAnsi="Times New Roman"/>
                <w:sz w:val="24"/>
              </w:rPr>
              <w:tab/>
              <w:t>Aluehallinnot tai paikallisviranomaiset</w:t>
            </w:r>
          </w:p>
          <w:p w14:paraId="1861927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Ks. CR SA -lomake.</w:t>
            </w:r>
          </w:p>
        </w:tc>
      </w:tr>
      <w:tr w:rsidR="00CC7D2C" w:rsidRPr="002A677E" w14:paraId="37F4543A" w14:textId="77777777" w:rsidTr="00822842">
        <w:tc>
          <w:tcPr>
            <w:tcW w:w="1591" w:type="dxa"/>
          </w:tcPr>
          <w:p w14:paraId="7D04DBC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274" w:type="dxa"/>
          </w:tcPr>
          <w:p w14:paraId="3E6FCAE4" w14:textId="77777777" w:rsidR="00CC7D2C" w:rsidRPr="002A677E" w:rsidRDefault="00CC7D2C" w:rsidP="00320EFD">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rPr>
                <w:rStyle w:val="InstructionsTabelleberschrift"/>
                <w:rFonts w:ascii="Times New Roman" w:hAnsi="Times New Roman"/>
                <w:sz w:val="24"/>
              </w:rPr>
              <w:tab/>
              <w:t>Julkisyhteisöt ja julkisoikeudelliset laitokset</w:t>
            </w:r>
          </w:p>
          <w:p w14:paraId="61C75AD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Ks. CR SA -lomake.</w:t>
            </w:r>
          </w:p>
        </w:tc>
      </w:tr>
      <w:tr w:rsidR="00CC7D2C" w:rsidRPr="002A677E" w14:paraId="56784A18" w14:textId="77777777" w:rsidTr="00822842">
        <w:tc>
          <w:tcPr>
            <w:tcW w:w="1591" w:type="dxa"/>
          </w:tcPr>
          <w:p w14:paraId="33500D6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274" w:type="dxa"/>
          </w:tcPr>
          <w:p w14:paraId="211F54E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rPr>
                <w:rStyle w:val="InstructionsTabelleberschrift"/>
                <w:rFonts w:ascii="Times New Roman" w:hAnsi="Times New Roman"/>
                <w:sz w:val="24"/>
              </w:rPr>
              <w:tab/>
              <w:t>Kansainväliset kehityspankit</w:t>
            </w:r>
          </w:p>
          <w:p w14:paraId="4A09010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Ks. CR SA -lomake. </w:t>
            </w:r>
          </w:p>
        </w:tc>
      </w:tr>
      <w:tr w:rsidR="00CC7D2C" w:rsidRPr="002F0B1D" w14:paraId="2C61CB0F" w14:textId="77777777" w:rsidTr="00822842">
        <w:tc>
          <w:tcPr>
            <w:tcW w:w="1591" w:type="dxa"/>
          </w:tcPr>
          <w:p w14:paraId="5FBF668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274" w:type="dxa"/>
          </w:tcPr>
          <w:p w14:paraId="4CCDA495"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rPr>
                <w:rStyle w:val="InstructionsTabelleberschrift"/>
                <w:rFonts w:ascii="Times New Roman" w:hAnsi="Times New Roman"/>
                <w:sz w:val="24"/>
              </w:rPr>
              <w:tab/>
              <w:t>Kansainväliset organisaatiot</w:t>
            </w:r>
          </w:p>
          <w:p w14:paraId="082FC9E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Ks. CR SA -lomake.</w:t>
            </w:r>
          </w:p>
        </w:tc>
      </w:tr>
      <w:tr w:rsidR="00CC7D2C" w:rsidRPr="002F0B1D" w14:paraId="4CEC5BAE" w14:textId="77777777" w:rsidTr="00822842">
        <w:tc>
          <w:tcPr>
            <w:tcW w:w="1591" w:type="dxa"/>
          </w:tcPr>
          <w:p w14:paraId="3EB7C90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274" w:type="dxa"/>
          </w:tcPr>
          <w:p w14:paraId="2BA6FAF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rPr>
                <w:rStyle w:val="InstructionsTabelleberschrift"/>
                <w:rFonts w:ascii="Times New Roman" w:hAnsi="Times New Roman"/>
                <w:sz w:val="24"/>
              </w:rPr>
              <w:tab/>
              <w:t>Laitokset</w:t>
            </w:r>
          </w:p>
          <w:p w14:paraId="3FF59F4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Ks. CR SA -lomake.</w:t>
            </w:r>
          </w:p>
        </w:tc>
      </w:tr>
      <w:tr w:rsidR="00CC7D2C" w:rsidRPr="002A677E" w14:paraId="6945F529" w14:textId="77777777" w:rsidTr="00822842">
        <w:tc>
          <w:tcPr>
            <w:tcW w:w="1591" w:type="dxa"/>
          </w:tcPr>
          <w:p w14:paraId="228609D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0125</w:t>
            </w:r>
          </w:p>
        </w:tc>
        <w:tc>
          <w:tcPr>
            <w:tcW w:w="7274" w:type="dxa"/>
          </w:tcPr>
          <w:p w14:paraId="0B34389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1.1.1.1.07a</w:t>
            </w:r>
            <w:r>
              <w:rPr>
                <w:rStyle w:val="InstructionsTabelleberschrift"/>
                <w:rFonts w:ascii="Times New Roman" w:hAnsi="Times New Roman"/>
                <w:sz w:val="24"/>
              </w:rPr>
              <w:tab/>
              <w:t>Yritykset – muut</w:t>
            </w:r>
          </w:p>
          <w:p w14:paraId="6D6C27F6"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Ks. CR SA -lomake.</w:t>
            </w:r>
          </w:p>
        </w:tc>
      </w:tr>
      <w:tr w:rsidR="00CC7D2C" w:rsidRPr="002A677E" w14:paraId="3D16DA9C" w14:textId="77777777" w:rsidTr="00822842">
        <w:tc>
          <w:tcPr>
            <w:tcW w:w="1591" w:type="dxa"/>
          </w:tcPr>
          <w:p w14:paraId="67436B6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0131</w:t>
            </w:r>
          </w:p>
        </w:tc>
        <w:tc>
          <w:tcPr>
            <w:tcW w:w="7274" w:type="dxa"/>
          </w:tcPr>
          <w:p w14:paraId="207C168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1.1.1.1.07b</w:t>
            </w:r>
            <w:r>
              <w:rPr>
                <w:rStyle w:val="InstructionsTabelleberschrift"/>
                <w:rFonts w:ascii="Times New Roman" w:hAnsi="Times New Roman"/>
                <w:sz w:val="24"/>
              </w:rPr>
              <w:tab/>
              <w:t>Yritykset – erityisrahoitusvastuut</w:t>
            </w:r>
          </w:p>
          <w:p w14:paraId="5377FC4C"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Ks. CR SA -lomake.</w:t>
            </w:r>
          </w:p>
        </w:tc>
      </w:tr>
      <w:tr w:rsidR="00CC7D2C" w:rsidRPr="002A677E" w14:paraId="48BCB216" w14:textId="77777777" w:rsidTr="00822842">
        <w:tc>
          <w:tcPr>
            <w:tcW w:w="1591" w:type="dxa"/>
          </w:tcPr>
          <w:p w14:paraId="30CD54D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274" w:type="dxa"/>
          </w:tcPr>
          <w:p w14:paraId="503C5821" w14:textId="77777777" w:rsidR="00CC7D2C" w:rsidRPr="002A677E" w:rsidRDefault="00CC7D2C" w:rsidP="00320EFD">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rPr>
                <w:rStyle w:val="InstructionsTabelleberschrift"/>
                <w:rFonts w:ascii="Times New Roman" w:hAnsi="Times New Roman"/>
                <w:sz w:val="24"/>
              </w:rPr>
              <w:tab/>
              <w:t>Vähittäisvastuut</w:t>
            </w:r>
          </w:p>
          <w:p w14:paraId="360DC14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Ks. CR SA -lomake.</w:t>
            </w:r>
          </w:p>
        </w:tc>
      </w:tr>
      <w:tr w:rsidR="00CC7D2C" w:rsidRPr="002A677E" w14:paraId="546D0D73" w14:textId="77777777" w:rsidTr="00822842">
        <w:tc>
          <w:tcPr>
            <w:tcW w:w="1591" w:type="dxa"/>
          </w:tcPr>
          <w:p w14:paraId="0A08C20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274" w:type="dxa"/>
          </w:tcPr>
          <w:p w14:paraId="0D0907DA"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rPr>
                <w:rStyle w:val="InstructionsTabelleberschrift"/>
                <w:rFonts w:ascii="Times New Roman" w:hAnsi="Times New Roman"/>
                <w:sz w:val="24"/>
              </w:rPr>
              <w:tab/>
              <w:t>Kiinteistövakuudelliset ja ADC-vastuut</w:t>
            </w:r>
          </w:p>
          <w:p w14:paraId="2E7EE03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Ks. CR SA -lomake.</w:t>
            </w:r>
          </w:p>
        </w:tc>
      </w:tr>
      <w:tr w:rsidR="00CC7D2C" w:rsidRPr="002A677E" w14:paraId="790D6AD7" w14:textId="77777777" w:rsidTr="00822842">
        <w:tc>
          <w:tcPr>
            <w:tcW w:w="1591" w:type="dxa"/>
          </w:tcPr>
          <w:p w14:paraId="76A9E2B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0151</w:t>
            </w:r>
          </w:p>
        </w:tc>
        <w:tc>
          <w:tcPr>
            <w:tcW w:w="7274" w:type="dxa"/>
          </w:tcPr>
          <w:p w14:paraId="6E6AB269"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1.1.1.1.09.1</w:t>
            </w:r>
            <w:r>
              <w:rPr>
                <w:rStyle w:val="InstructionsTabelleberschrift"/>
              </w:rPr>
              <w:t xml:space="preserve"> </w:t>
            </w:r>
            <w:r>
              <w:rPr>
                <w:rStyle w:val="InstructionsTabelleberschrift"/>
                <w:rFonts w:ascii="Times New Roman" w:hAnsi="Times New Roman"/>
                <w:sz w:val="24"/>
              </w:rPr>
              <w:t>Asuinkiinteistövakuudelliset – ei-IPRE (suojatut)</w:t>
            </w:r>
          </w:p>
          <w:p w14:paraId="0E4B47C8"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Ks. CR SA -lomake.</w:t>
            </w:r>
          </w:p>
        </w:tc>
      </w:tr>
      <w:tr w:rsidR="00CC7D2C" w:rsidRPr="002A677E" w14:paraId="22041AB9" w14:textId="77777777" w:rsidTr="00822842">
        <w:tc>
          <w:tcPr>
            <w:tcW w:w="1591" w:type="dxa"/>
          </w:tcPr>
          <w:p w14:paraId="12C8BA3C"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0152</w:t>
            </w:r>
          </w:p>
        </w:tc>
        <w:tc>
          <w:tcPr>
            <w:tcW w:w="7274" w:type="dxa"/>
          </w:tcPr>
          <w:p w14:paraId="399D5AA7"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1.1.1.1.09.2</w:t>
            </w:r>
            <w:r>
              <w:rPr>
                <w:rStyle w:val="InstructionsTabelleberschrift"/>
              </w:rPr>
              <w:t xml:space="preserve"> </w:t>
            </w:r>
            <w:r>
              <w:rPr>
                <w:rStyle w:val="InstructionsTabelleberschrift"/>
                <w:rFonts w:ascii="Times New Roman" w:hAnsi="Times New Roman"/>
                <w:sz w:val="24"/>
              </w:rPr>
              <w:t>Asuinkiinteistövakuudelliset – ei-IPRE (suojaamattomat)</w:t>
            </w:r>
          </w:p>
          <w:p w14:paraId="64AB7DC0"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Ks. CR SA -lomake.</w:t>
            </w:r>
          </w:p>
        </w:tc>
      </w:tr>
      <w:tr w:rsidR="007F4B3F" w:rsidRPr="002A677E" w14:paraId="10FBC0DD" w14:textId="77777777" w:rsidTr="00822842">
        <w:tc>
          <w:tcPr>
            <w:tcW w:w="1591" w:type="dxa"/>
          </w:tcPr>
          <w:p w14:paraId="228B1BA8" w14:textId="0FAF5E03" w:rsidR="007F4B3F" w:rsidRDefault="007F4B3F"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0153</w:t>
            </w:r>
          </w:p>
        </w:tc>
        <w:tc>
          <w:tcPr>
            <w:tcW w:w="7274" w:type="dxa"/>
          </w:tcPr>
          <w:p w14:paraId="205A75F2" w14:textId="70A4C101" w:rsidR="007F4B3F" w:rsidRDefault="007F4B3F"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1.1.1.1.09.3</w:t>
            </w:r>
            <w:r>
              <w:rPr>
                <w:rStyle w:val="InstructionsTabelleberschrift"/>
              </w:rPr>
              <w:t xml:space="preserve"> </w:t>
            </w:r>
            <w:r>
              <w:rPr>
                <w:rStyle w:val="InstructionsTabelleberschrift"/>
                <w:rFonts w:ascii="Times New Roman" w:hAnsi="Times New Roman"/>
                <w:sz w:val="24"/>
              </w:rPr>
              <w:t>Asuinkiinteistövakuudelliset – muut – ei-IPRE</w:t>
            </w:r>
          </w:p>
          <w:p w14:paraId="4DB0C17D" w14:textId="496B7CBC" w:rsidR="007F4B3F" w:rsidRPr="002A677E" w:rsidRDefault="007F4B3F"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Ks. CR SA -lomake.</w:t>
            </w:r>
          </w:p>
        </w:tc>
      </w:tr>
      <w:tr w:rsidR="00CC7D2C" w:rsidRPr="002A677E" w14:paraId="4F7FAA46" w14:textId="77777777" w:rsidTr="00822842">
        <w:tc>
          <w:tcPr>
            <w:tcW w:w="1591" w:type="dxa"/>
          </w:tcPr>
          <w:p w14:paraId="1281FB3C" w14:textId="7B1908D5"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0154</w:t>
            </w:r>
          </w:p>
        </w:tc>
        <w:tc>
          <w:tcPr>
            <w:tcW w:w="7274" w:type="dxa"/>
          </w:tcPr>
          <w:p w14:paraId="1F8FDFFA" w14:textId="6F749CA5"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1.1.1.1.09.4</w:t>
            </w:r>
            <w:r>
              <w:rPr>
                <w:rStyle w:val="InstructionsTabelleberschrift"/>
              </w:rPr>
              <w:t xml:space="preserve"> </w:t>
            </w:r>
            <w:r>
              <w:rPr>
                <w:rStyle w:val="InstructionsTabelleberschrift"/>
                <w:rFonts w:ascii="Times New Roman" w:hAnsi="Times New Roman"/>
                <w:sz w:val="24"/>
              </w:rPr>
              <w:t>Asuinkiinteistövakuudelliset – IPRE</w:t>
            </w:r>
          </w:p>
          <w:p w14:paraId="6D902F9E"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Ks. CR SA -lomake.</w:t>
            </w:r>
          </w:p>
        </w:tc>
      </w:tr>
      <w:tr w:rsidR="007F4B3F" w:rsidRPr="002A677E" w14:paraId="636C2749" w14:textId="77777777" w:rsidTr="00822842">
        <w:tc>
          <w:tcPr>
            <w:tcW w:w="1591" w:type="dxa"/>
          </w:tcPr>
          <w:p w14:paraId="25FE54BF" w14:textId="5F6090A3" w:rsidR="007F4B3F" w:rsidRDefault="007F4B3F"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0155</w:t>
            </w:r>
          </w:p>
        </w:tc>
        <w:tc>
          <w:tcPr>
            <w:tcW w:w="7274" w:type="dxa"/>
          </w:tcPr>
          <w:p w14:paraId="5EE00DA5" w14:textId="405178B9" w:rsidR="007F4B3F" w:rsidRDefault="007F4B3F"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1.1.1.1.09.5</w:t>
            </w:r>
            <w:r>
              <w:rPr>
                <w:rStyle w:val="InstructionsTabelleberschrift"/>
              </w:rPr>
              <w:t xml:space="preserve"> </w:t>
            </w:r>
            <w:r>
              <w:rPr>
                <w:rStyle w:val="InstructionsTabelleberschrift"/>
                <w:rFonts w:ascii="Times New Roman" w:hAnsi="Times New Roman"/>
                <w:sz w:val="24"/>
              </w:rPr>
              <w:t>Asuinkiinteistövakuudelliset – muut – IPRE</w:t>
            </w:r>
          </w:p>
          <w:p w14:paraId="2905ED45" w14:textId="547862BC" w:rsidR="007F4B3F" w:rsidRPr="002A677E" w:rsidRDefault="007F4B3F"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Ks. CR SA -lomake.</w:t>
            </w:r>
          </w:p>
        </w:tc>
      </w:tr>
      <w:tr w:rsidR="00CC7D2C" w:rsidRPr="002A677E" w14:paraId="0A701EAC" w14:textId="77777777" w:rsidTr="00822842">
        <w:tc>
          <w:tcPr>
            <w:tcW w:w="1591" w:type="dxa"/>
          </w:tcPr>
          <w:p w14:paraId="6FB40C3B" w14:textId="673CBF40"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0156</w:t>
            </w:r>
          </w:p>
        </w:tc>
        <w:tc>
          <w:tcPr>
            <w:tcW w:w="7274" w:type="dxa"/>
          </w:tcPr>
          <w:p w14:paraId="6946143D" w14:textId="768332EC"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1.1.1.1.09.6</w:t>
            </w:r>
            <w:r>
              <w:rPr>
                <w:rStyle w:val="InstructionsTabelleberschrift"/>
              </w:rPr>
              <w:t xml:space="preserve"> </w:t>
            </w:r>
            <w:r>
              <w:rPr>
                <w:rStyle w:val="InstructionsTabelleberschrift"/>
                <w:rFonts w:ascii="Times New Roman" w:hAnsi="Times New Roman"/>
                <w:sz w:val="24"/>
              </w:rPr>
              <w:t>Liikekiinteistövakuudelliset – ei-IPRE (suojatut)</w:t>
            </w:r>
          </w:p>
          <w:p w14:paraId="40835C13"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Ks. CR SA -lomake.</w:t>
            </w:r>
          </w:p>
        </w:tc>
      </w:tr>
      <w:tr w:rsidR="00CC7D2C" w:rsidRPr="002A677E" w14:paraId="425B0272" w14:textId="77777777" w:rsidTr="00822842">
        <w:tc>
          <w:tcPr>
            <w:tcW w:w="1591" w:type="dxa"/>
          </w:tcPr>
          <w:p w14:paraId="0A5550D4" w14:textId="16447E4D"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0157</w:t>
            </w:r>
          </w:p>
        </w:tc>
        <w:tc>
          <w:tcPr>
            <w:tcW w:w="7274" w:type="dxa"/>
          </w:tcPr>
          <w:p w14:paraId="060A8C2B" w14:textId="2CDED3B6"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1.1.1.1.09.7</w:t>
            </w:r>
            <w:r>
              <w:rPr>
                <w:rStyle w:val="InstructionsTabelleberschrift"/>
              </w:rPr>
              <w:t xml:space="preserve"> </w:t>
            </w:r>
            <w:r>
              <w:rPr>
                <w:rStyle w:val="InstructionsTabelleberschrift"/>
                <w:rFonts w:ascii="Times New Roman" w:hAnsi="Times New Roman"/>
                <w:sz w:val="24"/>
              </w:rPr>
              <w:t>Liikekiinteistövakuudelliset – ei-IPRE (suojaamattomat)</w:t>
            </w:r>
          </w:p>
          <w:p w14:paraId="5DAFF51B"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Ks. CR SA -lomake.</w:t>
            </w:r>
          </w:p>
        </w:tc>
      </w:tr>
      <w:tr w:rsidR="007F4B3F" w:rsidRPr="002A677E" w14:paraId="5DC9270A" w14:textId="77777777" w:rsidTr="00822842">
        <w:tc>
          <w:tcPr>
            <w:tcW w:w="1591" w:type="dxa"/>
          </w:tcPr>
          <w:p w14:paraId="689A6DCB" w14:textId="1E303AAD" w:rsidR="007F4B3F" w:rsidRDefault="007F4B3F"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w:t>
            </w:r>
            <w:r>
              <w:rPr>
                <w:rStyle w:val="FormatvorlageInstructionsTabelleText"/>
              </w:rPr>
              <w:t>158</w:t>
            </w:r>
          </w:p>
        </w:tc>
        <w:tc>
          <w:tcPr>
            <w:tcW w:w="7274" w:type="dxa"/>
          </w:tcPr>
          <w:p w14:paraId="411FE77D" w14:textId="69FA6B39" w:rsidR="007F4B3F" w:rsidRDefault="007F4B3F"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1.1.1.1.09.8</w:t>
            </w:r>
            <w:r>
              <w:rPr>
                <w:rStyle w:val="InstructionsTabelleberschrift"/>
              </w:rPr>
              <w:t xml:space="preserve"> </w:t>
            </w:r>
            <w:r>
              <w:rPr>
                <w:rStyle w:val="InstructionsTabelleberschrift"/>
                <w:rFonts w:ascii="Times New Roman" w:hAnsi="Times New Roman"/>
                <w:sz w:val="24"/>
              </w:rPr>
              <w:t>Liikekiinteistövakuudelliset – muut – ei-IPRE</w:t>
            </w:r>
          </w:p>
          <w:p w14:paraId="0772E508" w14:textId="000070F8" w:rsidR="007F4B3F" w:rsidRPr="002A677E" w:rsidRDefault="007F4B3F"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Ks. CR SA -lomake.</w:t>
            </w:r>
          </w:p>
        </w:tc>
      </w:tr>
      <w:tr w:rsidR="00CC7D2C" w:rsidRPr="002A677E" w14:paraId="322F841F" w14:textId="1E5DC9E5" w:rsidTr="00822842">
        <w:tc>
          <w:tcPr>
            <w:tcW w:w="1591" w:type="dxa"/>
          </w:tcPr>
          <w:p w14:paraId="3879AFFF" w14:textId="06BF78A2"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0159</w:t>
            </w:r>
          </w:p>
        </w:tc>
        <w:tc>
          <w:tcPr>
            <w:tcW w:w="7274" w:type="dxa"/>
          </w:tcPr>
          <w:p w14:paraId="2F61A8A6" w14:textId="5281EB48"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1.1.1.1.09.9</w:t>
            </w:r>
            <w:r>
              <w:rPr>
                <w:rStyle w:val="InstructionsTabelleberschrift"/>
              </w:rPr>
              <w:t xml:space="preserve"> </w:t>
            </w:r>
            <w:r>
              <w:rPr>
                <w:rStyle w:val="InstructionsTabelleberschrift"/>
                <w:rFonts w:ascii="Times New Roman" w:hAnsi="Times New Roman"/>
                <w:sz w:val="24"/>
              </w:rPr>
              <w:t>Liikekiinteistövakuudelliset – IPRE</w:t>
            </w:r>
          </w:p>
          <w:p w14:paraId="508FA811" w14:textId="59F16FE0"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Ks. CR SA -lomake.</w:t>
            </w:r>
          </w:p>
        </w:tc>
      </w:tr>
      <w:tr w:rsidR="00CC7D2C" w:rsidRPr="002A677E" w14:paraId="7428E9E4" w14:textId="77777777" w:rsidTr="00822842">
        <w:tc>
          <w:tcPr>
            <w:tcW w:w="1591" w:type="dxa"/>
          </w:tcPr>
          <w:p w14:paraId="63EC5AF9" w14:textId="7DF5807D"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0900</w:t>
            </w:r>
          </w:p>
        </w:tc>
        <w:tc>
          <w:tcPr>
            <w:tcW w:w="7274" w:type="dxa"/>
          </w:tcPr>
          <w:p w14:paraId="7D6AE7C2" w14:textId="61F789FD"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1.1.1.1.09.9a</w:t>
            </w:r>
            <w:r>
              <w:rPr>
                <w:rStyle w:val="InstructionsTabelleberschrift"/>
              </w:rPr>
              <w:t xml:space="preserve"> </w:t>
            </w:r>
            <w:r>
              <w:rPr>
                <w:rStyle w:val="InstructionsTabelleberschrift"/>
                <w:rFonts w:ascii="Times New Roman" w:hAnsi="Times New Roman"/>
                <w:sz w:val="24"/>
              </w:rPr>
              <w:t>Liikekiinteistövakuudelliset – muut - IPRE</w:t>
            </w:r>
          </w:p>
          <w:p w14:paraId="0949ED7F"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Ks. CR SA -lomake.</w:t>
            </w:r>
          </w:p>
        </w:tc>
      </w:tr>
      <w:tr w:rsidR="00CC7D2C" w:rsidRPr="002A677E" w14:paraId="59EA620E" w14:textId="77777777" w:rsidTr="00822842">
        <w:tc>
          <w:tcPr>
            <w:tcW w:w="1591" w:type="dxa"/>
          </w:tcPr>
          <w:p w14:paraId="1B0CF031" w14:textId="5C62316E"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0910</w:t>
            </w:r>
          </w:p>
        </w:tc>
        <w:tc>
          <w:tcPr>
            <w:tcW w:w="7274" w:type="dxa"/>
          </w:tcPr>
          <w:p w14:paraId="5A67362E" w14:textId="20ED9D2B"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1.1.1.1.09.9b</w:t>
            </w:r>
            <w:r>
              <w:rPr>
                <w:rStyle w:val="InstructionsTabelleberschrift"/>
              </w:rPr>
              <w:t xml:space="preserve"> </w:t>
            </w:r>
            <w:r>
              <w:rPr>
                <w:rStyle w:val="InstructionsTabelleberschrift"/>
                <w:rFonts w:ascii="Times New Roman" w:hAnsi="Times New Roman"/>
                <w:sz w:val="24"/>
              </w:rPr>
              <w:t>hankinta, kehittäminen ja rakentaminen (ADC)</w:t>
            </w:r>
          </w:p>
          <w:p w14:paraId="44966D42"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Ks. CR SA -lomake.</w:t>
            </w:r>
          </w:p>
        </w:tc>
      </w:tr>
      <w:tr w:rsidR="00CC7D2C" w:rsidRPr="002A677E" w14:paraId="0E7177AE" w14:textId="77777777" w:rsidTr="00822842">
        <w:tc>
          <w:tcPr>
            <w:tcW w:w="1591" w:type="dxa"/>
          </w:tcPr>
          <w:p w14:paraId="0FC08E3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274" w:type="dxa"/>
          </w:tcPr>
          <w:p w14:paraId="691C0F92"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rPr>
                <w:rStyle w:val="InstructionsTabelleberschrift"/>
                <w:rFonts w:ascii="Times New Roman" w:hAnsi="Times New Roman"/>
                <w:sz w:val="24"/>
              </w:rPr>
              <w:tab/>
              <w:t>Maksukyvyttömyystilassa olevat vastuut</w:t>
            </w:r>
          </w:p>
          <w:p w14:paraId="748E341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Ks. CR SA -lomake.</w:t>
            </w:r>
          </w:p>
        </w:tc>
      </w:tr>
      <w:tr w:rsidR="00CC7D2C" w:rsidRPr="002A677E" w14:paraId="7B0FABBD" w14:textId="77777777" w:rsidTr="00822842">
        <w:tc>
          <w:tcPr>
            <w:tcW w:w="1591" w:type="dxa"/>
          </w:tcPr>
          <w:p w14:paraId="32090489" w14:textId="67AA5702" w:rsidR="00CC7D2C" w:rsidRDefault="00CC7D2C" w:rsidP="00320EFD">
            <w:pPr>
              <w:pStyle w:val="InstructionsText"/>
              <w:rPr>
                <w:rStyle w:val="FormatvorlageInstructionsTabelleText"/>
                <w:rFonts w:ascii="Times New Roman" w:hAnsi="Times New Roman"/>
                <w:sz w:val="24"/>
                <w:lang w:eastAsia="en-US"/>
              </w:rPr>
            </w:pPr>
          </w:p>
        </w:tc>
        <w:tc>
          <w:tcPr>
            <w:tcW w:w="7274" w:type="dxa"/>
          </w:tcPr>
          <w:p w14:paraId="55E987E8" w14:textId="690CF5A5" w:rsidR="00CC7D2C" w:rsidRDefault="00CC7D2C" w:rsidP="00320EFD">
            <w:pPr>
              <w:pStyle w:val="InstructionsText"/>
              <w:rPr>
                <w:rStyle w:val="InstructionsTabelleberschrift"/>
                <w:rFonts w:ascii="Times New Roman" w:hAnsi="Times New Roman"/>
                <w:sz w:val="24"/>
                <w:lang w:eastAsia="en-US"/>
              </w:rPr>
            </w:pPr>
          </w:p>
        </w:tc>
      </w:tr>
      <w:tr w:rsidR="00CC7D2C" w:rsidRPr="002A677E" w14:paraId="56CCB5D0" w14:textId="77777777" w:rsidTr="00822842">
        <w:tc>
          <w:tcPr>
            <w:tcW w:w="1591" w:type="dxa"/>
          </w:tcPr>
          <w:p w14:paraId="233C776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0171</w:t>
            </w:r>
          </w:p>
        </w:tc>
        <w:tc>
          <w:tcPr>
            <w:tcW w:w="7274" w:type="dxa"/>
          </w:tcPr>
          <w:p w14:paraId="61BDB376"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1.1.1.1.11a     Vastuut, jotka ovat etuoikeudeltaan huonompia velkainstrumentteja</w:t>
            </w:r>
          </w:p>
          <w:p w14:paraId="459A982C"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Ks. CR SA -lomake.</w:t>
            </w:r>
          </w:p>
        </w:tc>
      </w:tr>
      <w:tr w:rsidR="00CC7D2C" w:rsidRPr="002A677E" w14:paraId="662573FF" w14:textId="77777777" w:rsidTr="00822842">
        <w:tc>
          <w:tcPr>
            <w:tcW w:w="1591" w:type="dxa"/>
          </w:tcPr>
          <w:p w14:paraId="0667C0A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274" w:type="dxa"/>
          </w:tcPr>
          <w:p w14:paraId="5555D90C"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rPr>
                <w:rStyle w:val="InstructionsTabelleberschrift"/>
                <w:rFonts w:ascii="Times New Roman" w:hAnsi="Times New Roman"/>
                <w:sz w:val="24"/>
              </w:rPr>
              <w:tab/>
              <w:t>Katetut joukkovelkakirjalainat</w:t>
            </w:r>
          </w:p>
          <w:p w14:paraId="5974852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Ks. CR SA -lomake.</w:t>
            </w:r>
          </w:p>
        </w:tc>
      </w:tr>
      <w:tr w:rsidR="00CC7D2C" w:rsidRPr="002A677E" w14:paraId="057639C8" w14:textId="77777777" w:rsidTr="00822842">
        <w:tc>
          <w:tcPr>
            <w:tcW w:w="1591" w:type="dxa"/>
          </w:tcPr>
          <w:p w14:paraId="45DFF26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274" w:type="dxa"/>
          </w:tcPr>
          <w:p w14:paraId="3B622691"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rPr>
                <w:rStyle w:val="InstructionsTabelleberschrift"/>
                <w:rFonts w:ascii="Times New Roman" w:hAnsi="Times New Roman"/>
                <w:sz w:val="24"/>
              </w:rPr>
              <w:tab/>
              <w:t>Saamiset laitoksilta ja yrityksiltä, joista on käytettävissä lyhyen aikavälin luottoluokitus</w:t>
            </w:r>
          </w:p>
          <w:p w14:paraId="3F6E4C6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Ks. CR SA -lomake.</w:t>
            </w:r>
          </w:p>
        </w:tc>
      </w:tr>
      <w:tr w:rsidR="00CC7D2C" w:rsidRPr="002A677E" w14:paraId="32C6FFCF" w14:textId="77777777" w:rsidTr="00822842">
        <w:tc>
          <w:tcPr>
            <w:tcW w:w="1591" w:type="dxa"/>
          </w:tcPr>
          <w:p w14:paraId="239354C5"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0200</w:t>
            </w:r>
          </w:p>
        </w:tc>
        <w:tc>
          <w:tcPr>
            <w:tcW w:w="7274" w:type="dxa"/>
          </w:tcPr>
          <w:p w14:paraId="6627DC5C"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rPr>
                <w:rStyle w:val="InstructionsTabelleberschrift"/>
                <w:rFonts w:ascii="Times New Roman" w:hAnsi="Times New Roman"/>
                <w:sz w:val="24"/>
              </w:rPr>
              <w:tab/>
              <w:t>Yhteistä sijoitustoimintaa harjoittavat yritykset</w:t>
            </w:r>
          </w:p>
          <w:p w14:paraId="223DAA9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Ks. CR SA -lomake.</w:t>
            </w:r>
          </w:p>
        </w:tc>
      </w:tr>
      <w:tr w:rsidR="00CC7D2C" w:rsidRPr="002A677E" w14:paraId="61E62EE2" w14:textId="77777777" w:rsidTr="00822842">
        <w:tc>
          <w:tcPr>
            <w:tcW w:w="1591" w:type="dxa"/>
          </w:tcPr>
          <w:p w14:paraId="1750799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274" w:type="dxa"/>
          </w:tcPr>
          <w:p w14:paraId="0554B9EC"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rPr>
                <w:rStyle w:val="InstructionsTabelleberschrift"/>
                <w:rFonts w:ascii="Times New Roman" w:hAnsi="Times New Roman"/>
                <w:sz w:val="24"/>
              </w:rPr>
              <w:tab/>
              <w:t>Oman pääoman ehtoiset sijoitukset</w:t>
            </w:r>
          </w:p>
          <w:p w14:paraId="1E6D4B15"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Ks. CR SA -lomake.</w:t>
            </w:r>
          </w:p>
        </w:tc>
      </w:tr>
      <w:tr w:rsidR="00CC7D2C" w:rsidRPr="002A677E" w14:paraId="18C099EB" w14:textId="77777777" w:rsidTr="00822842">
        <w:tc>
          <w:tcPr>
            <w:tcW w:w="1591" w:type="dxa"/>
          </w:tcPr>
          <w:p w14:paraId="56A16E2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0211</w:t>
            </w:r>
          </w:p>
        </w:tc>
        <w:tc>
          <w:tcPr>
            <w:tcW w:w="7274" w:type="dxa"/>
          </w:tcPr>
          <w:p w14:paraId="0A0C27D7"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rPr>
                <w:rStyle w:val="InstructionsTabelleberschrift"/>
                <w:rFonts w:ascii="Times New Roman" w:hAnsi="Times New Roman"/>
                <w:sz w:val="24"/>
              </w:rPr>
              <w:tab/>
              <w:t>Muut erät</w:t>
            </w:r>
          </w:p>
          <w:p w14:paraId="0F6109C6" w14:textId="77777777" w:rsidR="00CC7D2C" w:rsidRPr="002A677E" w:rsidRDefault="00CC7D2C" w:rsidP="00320EFD">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lastRenderedPageBreak/>
              <w:t>Ks. CR SA -lomake.</w:t>
            </w:r>
          </w:p>
        </w:tc>
      </w:tr>
      <w:tr w:rsidR="00CC7D2C" w:rsidRPr="002A677E" w14:paraId="38CA97F2" w14:textId="77777777" w:rsidTr="00822842">
        <w:tc>
          <w:tcPr>
            <w:tcW w:w="1591" w:type="dxa"/>
          </w:tcPr>
          <w:p w14:paraId="2FDD8D8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0212</w:t>
            </w:r>
          </w:p>
        </w:tc>
        <w:tc>
          <w:tcPr>
            <w:tcW w:w="7274" w:type="dxa"/>
          </w:tcPr>
          <w:p w14:paraId="618C81D6"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1.1.1.1.16.1</w:t>
            </w:r>
            <w:r>
              <w:rPr>
                <w:rStyle w:val="InstructionsTabelleberschrift"/>
                <w:rFonts w:ascii="Times New Roman" w:hAnsi="Times New Roman"/>
                <w:sz w:val="24"/>
              </w:rPr>
              <w:tab/>
              <w:t>Joista: aineettomiin hyödykkeisiin laskettavat ohjelmistohyödykkeet</w:t>
            </w:r>
          </w:p>
          <w:p w14:paraId="665DD53E"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Riskipainotettujen vastuuerien yhteismäärä, joka liittyy aineettomiin hyödykkeisiin laskettavien ohjelmistohyödykkeiden siihen osaan, jota ei vähennetä ydinpääomasta (CET1) asetuksen (EU) N:o 575/2013 36 artiklan 1 kohdan b alakohdan mukaisesti mutta joka on riskipainotettu kyseisen asetuksen 113 artiklan 5 kohdan mukaisesti.</w:t>
            </w:r>
          </w:p>
        </w:tc>
      </w:tr>
      <w:tr w:rsidR="00CC7D2C" w:rsidRPr="002A677E" w14:paraId="23E730B4" w14:textId="77777777" w:rsidTr="00822842">
        <w:tc>
          <w:tcPr>
            <w:tcW w:w="1591" w:type="dxa"/>
          </w:tcPr>
          <w:p w14:paraId="4F33F26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274" w:type="dxa"/>
          </w:tcPr>
          <w:p w14:paraId="16E680C8" w14:textId="77777777" w:rsidR="00CC7D2C" w:rsidRPr="002A677E" w:rsidRDefault="00CC7D2C" w:rsidP="00320EFD">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rPr>
                <w:rStyle w:val="InstructionsTabelleberschrift"/>
                <w:rFonts w:ascii="Times New Roman" w:hAnsi="Times New Roman"/>
                <w:sz w:val="24"/>
              </w:rPr>
              <w:tab/>
              <w:t xml:space="preserve">Sisäisten luottoluokitusten menetelmä (IRB-menetelmä) </w:t>
            </w:r>
          </w:p>
        </w:tc>
      </w:tr>
      <w:tr w:rsidR="00CC7D2C" w:rsidRPr="002A677E" w14:paraId="4C6A15B5" w14:textId="77777777" w:rsidTr="00822842">
        <w:tc>
          <w:tcPr>
            <w:tcW w:w="1591" w:type="dxa"/>
          </w:tcPr>
          <w:p w14:paraId="77443E2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0241</w:t>
            </w:r>
          </w:p>
        </w:tc>
        <w:tc>
          <w:tcPr>
            <w:tcW w:w="7274" w:type="dxa"/>
          </w:tcPr>
          <w:p w14:paraId="101088E7"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rPr>
                <w:rStyle w:val="InstructionsTabelleberschrift"/>
                <w:rFonts w:ascii="Times New Roman" w:hAnsi="Times New Roman"/>
                <w:sz w:val="24"/>
              </w:rPr>
              <w:tab/>
              <w:t>Josta: Asetuksen (EU) N:o 575/2013 164 artiklaan perustuvat tiukemmat vakavaraisuusvaatimukset</w:t>
            </w:r>
          </w:p>
          <w:p w14:paraId="6560C4C8" w14:textId="77777777" w:rsidR="00CC7D2C" w:rsidRPr="002A677E" w:rsidRDefault="00CC7D2C" w:rsidP="00320EFD">
            <w:pPr>
              <w:pStyle w:val="InstructionsText"/>
              <w:rPr>
                <w:rStyle w:val="InstructionsTabelleberschrift"/>
                <w:rFonts w:ascii="Times New Roman" w:hAnsi="Times New Roman"/>
                <w:sz w:val="24"/>
              </w:rPr>
            </w:pPr>
            <w:r>
              <w:t xml:space="preserve">Laitosten on ilmoitettava ylimääräiset riskin määrät, jotka ovat tarpeen ensin </w:t>
            </w:r>
            <w:proofErr w:type="spellStart"/>
            <w:r>
              <w:t>EPV:lle</w:t>
            </w:r>
            <w:proofErr w:type="spellEnd"/>
            <w:r>
              <w:t xml:space="preserve"> ja sen jälkeen laitoksille ilmoitettujen asetuksen (EU) N:o 575/2013 164 artiklan 5 ja 7 kohdan mukaisten tiukempien vakavaraisuusvaatimusten noudattamiseksi.</w:t>
            </w:r>
          </w:p>
        </w:tc>
      </w:tr>
      <w:tr w:rsidR="00CC7D2C" w:rsidRPr="002A677E" w14:paraId="646B7D49" w14:textId="77777777" w:rsidTr="00822842">
        <w:tc>
          <w:tcPr>
            <w:tcW w:w="1591" w:type="dxa"/>
          </w:tcPr>
          <w:p w14:paraId="1CCF8D8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0242</w:t>
            </w:r>
          </w:p>
        </w:tc>
        <w:tc>
          <w:tcPr>
            <w:tcW w:w="7274" w:type="dxa"/>
          </w:tcPr>
          <w:p w14:paraId="61766164"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rPr>
                <w:rStyle w:val="InstructionsTabelleberschrift"/>
                <w:rFonts w:ascii="Times New Roman" w:hAnsi="Times New Roman"/>
                <w:sz w:val="24"/>
              </w:rPr>
              <w:tab/>
              <w:t>Josta: Asetuksen (EU) N:o 575/2013 124 artiklaan perustuvat tiukemmat vakavaraisuusvaatimukset</w:t>
            </w:r>
          </w:p>
          <w:p w14:paraId="15832D3F" w14:textId="33F29755" w:rsidR="00CC7D2C" w:rsidRPr="002A677E" w:rsidRDefault="00CC7D2C" w:rsidP="00320EFD">
            <w:pPr>
              <w:pStyle w:val="InstructionsText"/>
              <w:rPr>
                <w:rStyle w:val="InstructionsTabelleberschrift"/>
                <w:rFonts w:ascii="Times New Roman" w:hAnsi="Times New Roman"/>
                <w:sz w:val="24"/>
              </w:rPr>
            </w:pPr>
            <w:r>
              <w:t xml:space="preserve">Laitosten on ilmoitettava ylimääräiset riskin määrät, jotka ovat tarpeen, jotta voidaan noudattaa tiukempia vakavaraisuusvaatimuksia, jotka toimivaltaiset viranomaiset ovat vahvistaneet </w:t>
            </w:r>
            <w:proofErr w:type="spellStart"/>
            <w:r>
              <w:t>EPV:tä</w:t>
            </w:r>
            <w:proofErr w:type="spellEnd"/>
            <w:r>
              <w:t xml:space="preserve"> kuultuaan asetuksen (EU) N:o 575/2013 124 artiklan 8–13 kohdan mukaisesti ja jotka liittyvät kyseisen asetuksen 125 artiklan 2 kohdan d alakohdassa ja 126 artiklan 2 kohdan d alakohdassa vahvistettuihin rajoihin, joita sovelletaan hyväksyttävään vakuuden markkina-arvoon.</w:t>
            </w:r>
          </w:p>
        </w:tc>
      </w:tr>
      <w:tr w:rsidR="00CC7D2C" w:rsidRPr="002A677E" w14:paraId="67053B54" w14:textId="77777777" w:rsidTr="00822842">
        <w:tc>
          <w:tcPr>
            <w:tcW w:w="1591" w:type="dxa"/>
          </w:tcPr>
          <w:p w14:paraId="0AB24A9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274" w:type="dxa"/>
          </w:tcPr>
          <w:p w14:paraId="74E43A0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rPr>
                <w:rStyle w:val="InstructionsTabelleberschrift"/>
                <w:rFonts w:ascii="Times New Roman" w:hAnsi="Times New Roman"/>
                <w:sz w:val="24"/>
              </w:rPr>
              <w:tab/>
              <w:t>IRB-menetelmät, joita sovelletaan, kun omia LGD-estimaatteja tai CF-estimaatteja ei käytetä</w:t>
            </w:r>
          </w:p>
          <w:p w14:paraId="7292063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CR IRB -lomaketta sovelletaan vastuiden yhteismäärän tasolla (kun ei käytetä omia LGD- tai CF-estimaatteja).</w:t>
            </w:r>
          </w:p>
        </w:tc>
      </w:tr>
      <w:tr w:rsidR="00CC7D2C" w:rsidRPr="002A677E" w14:paraId="115055B1" w14:textId="77777777" w:rsidTr="00822842">
        <w:tc>
          <w:tcPr>
            <w:tcW w:w="1591" w:type="dxa"/>
          </w:tcPr>
          <w:p w14:paraId="4EC1ED2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274" w:type="dxa"/>
          </w:tcPr>
          <w:p w14:paraId="00B35FF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rPr>
                <w:rStyle w:val="InstructionsTabelleberschrift"/>
                <w:rFonts w:ascii="Times New Roman" w:hAnsi="Times New Roman"/>
                <w:sz w:val="24"/>
              </w:rPr>
              <w:tab/>
              <w:t>Valtiot ja keskuspankit</w:t>
            </w:r>
          </w:p>
          <w:p w14:paraId="7C743634"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Ks. CR IRB -lomake.</w:t>
            </w:r>
          </w:p>
        </w:tc>
      </w:tr>
      <w:tr w:rsidR="00CC7D2C" w14:paraId="53711DF2" w14:textId="77777777" w:rsidTr="00822842">
        <w:trPr>
          <w:trHeight w:val="300"/>
        </w:trPr>
        <w:tc>
          <w:tcPr>
            <w:tcW w:w="1591" w:type="dxa"/>
          </w:tcPr>
          <w:p w14:paraId="51F41C6D"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0261</w:t>
            </w:r>
          </w:p>
        </w:tc>
        <w:tc>
          <w:tcPr>
            <w:tcW w:w="7274" w:type="dxa"/>
          </w:tcPr>
          <w:p w14:paraId="1CF3531F"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1.1.2.1.01a</w:t>
            </w:r>
            <w:r>
              <w:tab/>
            </w:r>
            <w:r>
              <w:rPr>
                <w:rStyle w:val="InstructionsTabelleberschrift"/>
                <w:rFonts w:ascii="Times New Roman" w:hAnsi="Times New Roman"/>
                <w:sz w:val="24"/>
              </w:rPr>
              <w:t>Aluehallinnot tai paikallisviranomaiset</w:t>
            </w:r>
          </w:p>
          <w:p w14:paraId="3DC897B7"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Ks. CR IRB -lomake.</w:t>
            </w:r>
          </w:p>
        </w:tc>
      </w:tr>
      <w:tr w:rsidR="00CC7D2C" w14:paraId="1D12A51E" w14:textId="77777777" w:rsidTr="00822842">
        <w:trPr>
          <w:trHeight w:val="300"/>
        </w:trPr>
        <w:tc>
          <w:tcPr>
            <w:tcW w:w="1591" w:type="dxa"/>
          </w:tcPr>
          <w:p w14:paraId="3596BE48"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0262</w:t>
            </w:r>
          </w:p>
        </w:tc>
        <w:tc>
          <w:tcPr>
            <w:tcW w:w="7274" w:type="dxa"/>
          </w:tcPr>
          <w:p w14:paraId="730EA32D"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1.1.2.1.01b</w:t>
            </w:r>
            <w:r>
              <w:tab/>
            </w:r>
            <w:r>
              <w:rPr>
                <w:rStyle w:val="InstructionsTabelleberschrift"/>
                <w:rFonts w:ascii="Times New Roman" w:hAnsi="Times New Roman"/>
                <w:sz w:val="24"/>
              </w:rPr>
              <w:t>Julkisyhteisöt ja julkisoikeudelliset laitokset</w:t>
            </w:r>
          </w:p>
          <w:p w14:paraId="1396D915"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Ks. CR IRB -lomake.</w:t>
            </w:r>
          </w:p>
        </w:tc>
      </w:tr>
      <w:tr w:rsidR="00CC7D2C" w:rsidRPr="002A677E" w14:paraId="1E1F3B56" w14:textId="77777777" w:rsidTr="00822842">
        <w:tc>
          <w:tcPr>
            <w:tcW w:w="1591" w:type="dxa"/>
          </w:tcPr>
          <w:p w14:paraId="6F5522F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274" w:type="dxa"/>
          </w:tcPr>
          <w:p w14:paraId="302C8C32"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rPr>
                <w:rStyle w:val="InstructionsTabelleberschrift"/>
                <w:rFonts w:ascii="Times New Roman" w:hAnsi="Times New Roman"/>
                <w:sz w:val="24"/>
              </w:rPr>
              <w:tab/>
              <w:t>Laitokset</w:t>
            </w:r>
          </w:p>
          <w:p w14:paraId="380B21DF"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Ks. CR IRB -lomake.</w:t>
            </w:r>
          </w:p>
        </w:tc>
      </w:tr>
      <w:tr w:rsidR="00CC7D2C" w:rsidRPr="002A677E" w14:paraId="491BDD7C" w14:textId="77777777" w:rsidTr="00822842">
        <w:tc>
          <w:tcPr>
            <w:tcW w:w="1591" w:type="dxa"/>
          </w:tcPr>
          <w:p w14:paraId="361626D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274" w:type="dxa"/>
          </w:tcPr>
          <w:p w14:paraId="0ADCB2FE"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rPr>
                <w:rStyle w:val="InstructionsTabelleberschrift"/>
                <w:rFonts w:ascii="Times New Roman" w:hAnsi="Times New Roman"/>
                <w:sz w:val="24"/>
              </w:rPr>
              <w:tab/>
              <w:t>Yritykset – erityisrahoitusvastuut</w:t>
            </w:r>
          </w:p>
          <w:p w14:paraId="4FCB662E"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 xml:space="preserve">Ks. CR IRB -lomake. </w:t>
            </w:r>
          </w:p>
        </w:tc>
      </w:tr>
      <w:tr w:rsidR="00CC7D2C" w14:paraId="69712A5A" w14:textId="77777777" w:rsidTr="00822842">
        <w:trPr>
          <w:trHeight w:val="300"/>
        </w:trPr>
        <w:tc>
          <w:tcPr>
            <w:tcW w:w="1591" w:type="dxa"/>
          </w:tcPr>
          <w:p w14:paraId="4D0CB1AB"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0295</w:t>
            </w:r>
          </w:p>
        </w:tc>
        <w:tc>
          <w:tcPr>
            <w:tcW w:w="7274" w:type="dxa"/>
          </w:tcPr>
          <w:p w14:paraId="7B08BBDE"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1.1.2.1.04a</w:t>
            </w:r>
            <w:r>
              <w:tab/>
            </w:r>
            <w:r>
              <w:rPr>
                <w:rStyle w:val="InstructionsTabelleberschrift"/>
                <w:rFonts w:ascii="Times New Roman" w:hAnsi="Times New Roman"/>
                <w:sz w:val="24"/>
              </w:rPr>
              <w:t>Yritykset – ostetut saamiset</w:t>
            </w:r>
          </w:p>
          <w:p w14:paraId="191C302F"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Ks. CR IRB -lomake.</w:t>
            </w:r>
          </w:p>
        </w:tc>
      </w:tr>
      <w:tr w:rsidR="00CC7D2C" w:rsidRPr="002A677E" w14:paraId="7AB84916" w14:textId="77777777" w:rsidTr="00822842">
        <w:tc>
          <w:tcPr>
            <w:tcW w:w="1591" w:type="dxa"/>
          </w:tcPr>
          <w:p w14:paraId="54C00CE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0300</w:t>
            </w:r>
          </w:p>
        </w:tc>
        <w:tc>
          <w:tcPr>
            <w:tcW w:w="7274" w:type="dxa"/>
          </w:tcPr>
          <w:p w14:paraId="66BBC153"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rPr>
                <w:rStyle w:val="InstructionsTabelleberschrift"/>
                <w:rFonts w:ascii="Times New Roman" w:hAnsi="Times New Roman"/>
                <w:sz w:val="24"/>
              </w:rPr>
              <w:tab/>
              <w:t>Yritykset – muut</w:t>
            </w:r>
          </w:p>
          <w:p w14:paraId="4BF46AF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Ks. CR IRB -lomake.</w:t>
            </w:r>
          </w:p>
        </w:tc>
      </w:tr>
      <w:tr w:rsidR="00B0254B" w:rsidRPr="002A677E" w14:paraId="37B600F2" w14:textId="77777777" w:rsidTr="00822842">
        <w:tc>
          <w:tcPr>
            <w:tcW w:w="1591" w:type="dxa"/>
          </w:tcPr>
          <w:p w14:paraId="56F265EC" w14:textId="557ACEF6" w:rsidR="00B0254B" w:rsidRPr="002A677E" w:rsidRDefault="00B0254B"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0305</w:t>
            </w:r>
          </w:p>
        </w:tc>
        <w:tc>
          <w:tcPr>
            <w:tcW w:w="7274" w:type="dxa"/>
          </w:tcPr>
          <w:p w14:paraId="13683B26" w14:textId="45C732F7" w:rsidR="00B0254B" w:rsidRDefault="00B0254B"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1.1.2.1.06* Lisätietoerä: Yritykset – suuryritykset</w:t>
            </w:r>
          </w:p>
          <w:p w14:paraId="2C3CE8A6" w14:textId="6AFC835D" w:rsidR="00B0254B" w:rsidRPr="002A677E" w:rsidRDefault="00B0254B"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Ks. CR IRB -lomake.</w:t>
            </w:r>
          </w:p>
        </w:tc>
      </w:tr>
      <w:tr w:rsidR="007F42A0" w:rsidRPr="002A677E" w14:paraId="161E5A1A" w14:textId="77777777" w:rsidTr="00822842">
        <w:tc>
          <w:tcPr>
            <w:tcW w:w="1591" w:type="dxa"/>
          </w:tcPr>
          <w:p w14:paraId="783FE82E" w14:textId="48207EFB" w:rsidR="007F42A0" w:rsidRPr="002A677E" w:rsidRDefault="007F42A0"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0306</w:t>
            </w:r>
          </w:p>
        </w:tc>
        <w:tc>
          <w:tcPr>
            <w:tcW w:w="7274" w:type="dxa"/>
          </w:tcPr>
          <w:p w14:paraId="56CED020" w14:textId="30FCD2D5" w:rsidR="007F42A0" w:rsidRDefault="007F42A0"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1.1.2.1.06** Lisätietoerä: Yritykset – pk-yritykset</w:t>
            </w:r>
          </w:p>
          <w:p w14:paraId="46BB2F9C" w14:textId="571336D0" w:rsidR="007F42A0" w:rsidRPr="002A677E" w:rsidRDefault="007F42A0"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Ks. CR IRB -lomake.</w:t>
            </w:r>
          </w:p>
        </w:tc>
      </w:tr>
      <w:tr w:rsidR="00CC7D2C" w:rsidRPr="002A677E" w14:paraId="029E83FB" w14:textId="77777777" w:rsidTr="00822842">
        <w:tc>
          <w:tcPr>
            <w:tcW w:w="1591" w:type="dxa"/>
          </w:tcPr>
          <w:p w14:paraId="0AD8DC8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274" w:type="dxa"/>
          </w:tcPr>
          <w:p w14:paraId="3C904975"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rPr>
                <w:rStyle w:val="InstructionsTabelleberschrift"/>
                <w:rFonts w:ascii="Times New Roman" w:hAnsi="Times New Roman"/>
                <w:sz w:val="24"/>
              </w:rPr>
              <w:tab/>
              <w:t>IRB-menetelmät, joita sovelletaan, kun omia LGD-estimaatteja ja/tai CF-estimaatteja käytetään</w:t>
            </w:r>
          </w:p>
          <w:p w14:paraId="065EEC5E"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CR IRB -lomaketta sovelletaan vastuiden yhteismäärän tasolla (kun käytetään omia LGD- ja/tai CF-estimaatteja).</w:t>
            </w:r>
          </w:p>
        </w:tc>
      </w:tr>
      <w:tr w:rsidR="00CC7D2C" w:rsidRPr="002A677E" w14:paraId="0122BC82" w14:textId="77777777" w:rsidTr="00822842">
        <w:tc>
          <w:tcPr>
            <w:tcW w:w="1591" w:type="dxa"/>
          </w:tcPr>
          <w:p w14:paraId="1639DFA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274" w:type="dxa"/>
          </w:tcPr>
          <w:p w14:paraId="45457DE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rPr>
                <w:rStyle w:val="InstructionsTabelleberschrift"/>
                <w:rFonts w:ascii="Times New Roman" w:hAnsi="Times New Roman"/>
                <w:sz w:val="24"/>
              </w:rPr>
              <w:tab/>
              <w:t>Valtiot ja keskuspankit</w:t>
            </w:r>
          </w:p>
          <w:p w14:paraId="15FC0A45"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Ks. CR IRB -lomake.</w:t>
            </w:r>
          </w:p>
        </w:tc>
      </w:tr>
      <w:tr w:rsidR="00CC7D2C" w14:paraId="657B86EC" w14:textId="77777777" w:rsidTr="00822842">
        <w:trPr>
          <w:trHeight w:val="300"/>
        </w:trPr>
        <w:tc>
          <w:tcPr>
            <w:tcW w:w="1591" w:type="dxa"/>
          </w:tcPr>
          <w:p w14:paraId="2CA6669F"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0325</w:t>
            </w:r>
          </w:p>
        </w:tc>
        <w:tc>
          <w:tcPr>
            <w:tcW w:w="7274" w:type="dxa"/>
          </w:tcPr>
          <w:p w14:paraId="06BBBFBA"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1.1.2.2.01a</w:t>
            </w:r>
            <w:r>
              <w:tab/>
            </w:r>
            <w:r>
              <w:rPr>
                <w:rStyle w:val="InstructionsTabelleberschrift"/>
                <w:rFonts w:ascii="Times New Roman" w:hAnsi="Times New Roman"/>
                <w:sz w:val="24"/>
              </w:rPr>
              <w:t>Aluehallinnot tai paikallisviranomaiset</w:t>
            </w:r>
          </w:p>
          <w:p w14:paraId="6BB6F901"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Ks. CR IRB -lomake.</w:t>
            </w:r>
          </w:p>
        </w:tc>
      </w:tr>
      <w:tr w:rsidR="00CC7D2C" w14:paraId="28040919" w14:textId="77777777" w:rsidTr="00822842">
        <w:trPr>
          <w:trHeight w:val="300"/>
        </w:trPr>
        <w:tc>
          <w:tcPr>
            <w:tcW w:w="1591" w:type="dxa"/>
          </w:tcPr>
          <w:p w14:paraId="4EF3EF04"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0326</w:t>
            </w:r>
          </w:p>
        </w:tc>
        <w:tc>
          <w:tcPr>
            <w:tcW w:w="7274" w:type="dxa"/>
          </w:tcPr>
          <w:p w14:paraId="7F2539C7"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1.1.2.2.01b</w:t>
            </w:r>
            <w:r>
              <w:tab/>
            </w:r>
            <w:r>
              <w:rPr>
                <w:rStyle w:val="InstructionsTabelleberschrift"/>
                <w:rFonts w:ascii="Times New Roman" w:hAnsi="Times New Roman"/>
                <w:sz w:val="24"/>
              </w:rPr>
              <w:t>Julkisyhteisöt ja julkisoikeudelliset laitokset</w:t>
            </w:r>
          </w:p>
          <w:p w14:paraId="52267284"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Ks. CR IRB -lomake.</w:t>
            </w:r>
          </w:p>
        </w:tc>
      </w:tr>
      <w:tr w:rsidR="00CC7D2C" w:rsidRPr="002A677E" w14:paraId="37061F50" w14:textId="77777777" w:rsidTr="00822842">
        <w:tc>
          <w:tcPr>
            <w:tcW w:w="1591" w:type="dxa"/>
          </w:tcPr>
          <w:p w14:paraId="2128DDA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274" w:type="dxa"/>
          </w:tcPr>
          <w:p w14:paraId="37CD4DE1"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rPr>
                <w:rStyle w:val="InstructionsTabelleberschrift"/>
                <w:rFonts w:ascii="Times New Roman" w:hAnsi="Times New Roman"/>
                <w:sz w:val="24"/>
              </w:rPr>
              <w:tab/>
              <w:t>Yritykset – erityisrahoitusvastuut</w:t>
            </w:r>
          </w:p>
          <w:p w14:paraId="5A317945"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Ks. CR IRB -lomake.</w:t>
            </w:r>
          </w:p>
        </w:tc>
      </w:tr>
      <w:tr w:rsidR="00CC7D2C" w14:paraId="2F4F9C2C" w14:textId="77777777" w:rsidTr="00822842">
        <w:trPr>
          <w:trHeight w:val="300"/>
        </w:trPr>
        <w:tc>
          <w:tcPr>
            <w:tcW w:w="1591" w:type="dxa"/>
          </w:tcPr>
          <w:p w14:paraId="00EC1257"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0355</w:t>
            </w:r>
          </w:p>
        </w:tc>
        <w:tc>
          <w:tcPr>
            <w:tcW w:w="7274" w:type="dxa"/>
          </w:tcPr>
          <w:p w14:paraId="7B8831A6"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1.1.2.2.04a</w:t>
            </w:r>
            <w:r>
              <w:tab/>
            </w:r>
            <w:r>
              <w:rPr>
                <w:rStyle w:val="InstructionsTabelleberschrift"/>
                <w:rFonts w:ascii="Times New Roman" w:hAnsi="Times New Roman"/>
                <w:sz w:val="24"/>
              </w:rPr>
              <w:t>Yritykset – ostetut saamiset</w:t>
            </w:r>
          </w:p>
          <w:p w14:paraId="32E5A74A"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Ks. CR IRB -lomake.</w:t>
            </w:r>
          </w:p>
        </w:tc>
      </w:tr>
      <w:tr w:rsidR="00CC7D2C" w:rsidRPr="002A677E" w14:paraId="76FE2E8E" w14:textId="77777777" w:rsidTr="00822842">
        <w:tc>
          <w:tcPr>
            <w:tcW w:w="1591" w:type="dxa"/>
          </w:tcPr>
          <w:p w14:paraId="238E8CB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274" w:type="dxa"/>
          </w:tcPr>
          <w:p w14:paraId="2EB90E3D"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rPr>
                <w:rStyle w:val="InstructionsTabelleberschrift"/>
                <w:rFonts w:ascii="Times New Roman" w:hAnsi="Times New Roman"/>
                <w:sz w:val="24"/>
              </w:rPr>
              <w:tab/>
              <w:t>Yritykset – muut</w:t>
            </w:r>
          </w:p>
          <w:p w14:paraId="0C641820"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Ks. CR IRB -lomake.</w:t>
            </w:r>
          </w:p>
        </w:tc>
      </w:tr>
      <w:tr w:rsidR="00B0254B" w:rsidRPr="002A677E" w14:paraId="51D42F23" w14:textId="77777777" w:rsidTr="00822842">
        <w:tc>
          <w:tcPr>
            <w:tcW w:w="1591" w:type="dxa"/>
          </w:tcPr>
          <w:p w14:paraId="36C5AB84" w14:textId="7AC07343" w:rsidR="00B0254B" w:rsidRPr="1D13131D" w:rsidRDefault="00B0254B"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0415</w:t>
            </w:r>
          </w:p>
        </w:tc>
        <w:tc>
          <w:tcPr>
            <w:tcW w:w="7274" w:type="dxa"/>
          </w:tcPr>
          <w:p w14:paraId="4393B81B" w14:textId="60104733" w:rsidR="00B0254B" w:rsidRDefault="00B0254B"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1.1.2.2.05a* Lisätietoerä: Yritykset – suuryritykset</w:t>
            </w:r>
          </w:p>
          <w:p w14:paraId="5851B687" w14:textId="21622467" w:rsidR="00B0254B" w:rsidRPr="002A677E" w:rsidRDefault="00B0254B"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Ks. CR IRB -lomake.</w:t>
            </w:r>
          </w:p>
        </w:tc>
      </w:tr>
      <w:tr w:rsidR="00756BE3" w:rsidRPr="002A677E" w14:paraId="6184FFB1" w14:textId="77777777" w:rsidTr="00822842">
        <w:tc>
          <w:tcPr>
            <w:tcW w:w="1591" w:type="dxa"/>
          </w:tcPr>
          <w:p w14:paraId="037905D4" w14:textId="4644B5DB" w:rsidR="00756BE3"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0416</w:t>
            </w:r>
          </w:p>
        </w:tc>
        <w:tc>
          <w:tcPr>
            <w:tcW w:w="7274" w:type="dxa"/>
          </w:tcPr>
          <w:p w14:paraId="41D1097C" w14:textId="684C5EB1" w:rsidR="00756BE3" w:rsidRDefault="00756BE3"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1.1.2.2.05a** Lisätietoerä: Yritykset – pk-yritykset</w:t>
            </w:r>
          </w:p>
          <w:p w14:paraId="54E1479C" w14:textId="0B65AA60" w:rsidR="00756BE3" w:rsidRPr="002A677E" w:rsidRDefault="00756BE3"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Ks. CR IRB -lomake.</w:t>
            </w:r>
          </w:p>
        </w:tc>
      </w:tr>
      <w:tr w:rsidR="00CC7D2C" w:rsidRPr="002A677E" w14:paraId="7AAAD901" w14:textId="77777777" w:rsidTr="00822842">
        <w:tc>
          <w:tcPr>
            <w:tcW w:w="1591" w:type="dxa"/>
          </w:tcPr>
          <w:p w14:paraId="104D00DD" w14:textId="54CA7BBF"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0371</w:t>
            </w:r>
          </w:p>
        </w:tc>
        <w:tc>
          <w:tcPr>
            <w:tcW w:w="7274" w:type="dxa"/>
          </w:tcPr>
          <w:p w14:paraId="7526DAC0" w14:textId="12F2B91B"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tab/>
            </w:r>
            <w:r>
              <w:rPr>
                <w:rStyle w:val="InstructionsTabelleberschrift"/>
                <w:rFonts w:ascii="Times New Roman" w:hAnsi="Times New Roman"/>
                <w:sz w:val="24"/>
              </w:rPr>
              <w:t>Vähittäisvastuut – asuinkiinteistövakuudelliset</w:t>
            </w:r>
          </w:p>
          <w:p w14:paraId="6EA2E7FD"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Ks. CR IRB -lomake.</w:t>
            </w:r>
          </w:p>
        </w:tc>
      </w:tr>
      <w:tr w:rsidR="00CC7D2C" w:rsidRPr="002A677E" w14:paraId="0A635E3B" w14:textId="77777777" w:rsidTr="00822842">
        <w:tc>
          <w:tcPr>
            <w:tcW w:w="1591" w:type="dxa"/>
          </w:tcPr>
          <w:p w14:paraId="576D4B8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274" w:type="dxa"/>
          </w:tcPr>
          <w:p w14:paraId="16F88A63"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rPr>
                <w:rStyle w:val="InstructionsTabelleberschrift"/>
                <w:rFonts w:ascii="Times New Roman" w:hAnsi="Times New Roman"/>
                <w:sz w:val="24"/>
              </w:rPr>
              <w:tab/>
              <w:t>Vähittäisvastuut – uudistettavat vähittäisvastuut</w:t>
            </w:r>
          </w:p>
          <w:p w14:paraId="57E1BED9"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Ks. CR IRB -lomake.</w:t>
            </w:r>
          </w:p>
        </w:tc>
      </w:tr>
      <w:tr w:rsidR="00CC7D2C" w14:paraId="6A725962" w14:textId="77777777" w:rsidTr="00822842">
        <w:trPr>
          <w:trHeight w:val="300"/>
        </w:trPr>
        <w:tc>
          <w:tcPr>
            <w:tcW w:w="1591" w:type="dxa"/>
          </w:tcPr>
          <w:p w14:paraId="2122B748"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0395</w:t>
            </w:r>
          </w:p>
        </w:tc>
        <w:tc>
          <w:tcPr>
            <w:tcW w:w="7274" w:type="dxa"/>
          </w:tcPr>
          <w:p w14:paraId="4BDE0153"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1.1.2.2.08a</w:t>
            </w:r>
            <w:r>
              <w:tab/>
            </w:r>
            <w:r>
              <w:rPr>
                <w:rStyle w:val="InstructionsTabelleberschrift"/>
                <w:rFonts w:ascii="Times New Roman" w:hAnsi="Times New Roman"/>
                <w:sz w:val="24"/>
              </w:rPr>
              <w:t>Vähittäisvastuut – ostetut saamiset</w:t>
            </w:r>
          </w:p>
          <w:p w14:paraId="1EE5A186"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Ks. CR IRB -lomake.</w:t>
            </w:r>
          </w:p>
        </w:tc>
      </w:tr>
      <w:tr w:rsidR="00CC7D2C" w:rsidRPr="002A677E" w14:paraId="78150221" w14:textId="77777777" w:rsidTr="00822842">
        <w:tc>
          <w:tcPr>
            <w:tcW w:w="1591" w:type="dxa"/>
          </w:tcPr>
          <w:p w14:paraId="3FDBFE49" w14:textId="1E454574"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0401</w:t>
            </w:r>
          </w:p>
        </w:tc>
        <w:tc>
          <w:tcPr>
            <w:tcW w:w="7274" w:type="dxa"/>
          </w:tcPr>
          <w:p w14:paraId="75B70FC2" w14:textId="628645DC"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rPr>
                <w:rStyle w:val="InstructionsTabelleberschrift"/>
                <w:rFonts w:ascii="Times New Roman" w:hAnsi="Times New Roman"/>
                <w:sz w:val="24"/>
              </w:rPr>
              <w:tab/>
              <w:t>Vähittäisvastuut – muut</w:t>
            </w:r>
          </w:p>
          <w:p w14:paraId="0AE46C22"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Ks. CR IRB -lomake.</w:t>
            </w:r>
          </w:p>
        </w:tc>
      </w:tr>
      <w:tr w:rsidR="00CC7D2C" w14:paraId="48F2E283" w14:textId="77777777" w:rsidTr="00822842">
        <w:trPr>
          <w:trHeight w:val="300"/>
        </w:trPr>
        <w:tc>
          <w:tcPr>
            <w:tcW w:w="1591" w:type="dxa"/>
          </w:tcPr>
          <w:p w14:paraId="58FFAB84"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0405</w:t>
            </w:r>
          </w:p>
        </w:tc>
        <w:tc>
          <w:tcPr>
            <w:tcW w:w="7274" w:type="dxa"/>
          </w:tcPr>
          <w:p w14:paraId="6363C6C9"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1.1.2.2.09.01 </w:t>
            </w:r>
            <w:r>
              <w:tab/>
            </w:r>
            <w:r>
              <w:rPr>
                <w:rStyle w:val="InstructionsTabelleberschrift"/>
                <w:rFonts w:ascii="Times New Roman" w:hAnsi="Times New Roman"/>
                <w:sz w:val="24"/>
              </w:rPr>
              <w:t xml:space="preserve">   Joista: liikekiinteistövakuudelliset</w:t>
            </w:r>
          </w:p>
          <w:p w14:paraId="05CDF313"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Ks. CR IRB -lomake.</w:t>
            </w:r>
          </w:p>
        </w:tc>
      </w:tr>
      <w:tr w:rsidR="00756BE3" w:rsidRPr="002A677E" w14:paraId="709F4C16" w14:textId="77777777" w:rsidTr="00822842">
        <w:tc>
          <w:tcPr>
            <w:tcW w:w="1591" w:type="dxa"/>
          </w:tcPr>
          <w:p w14:paraId="0CBFBF2E" w14:textId="1A3FC28F" w:rsidR="00756BE3" w:rsidRPr="002A677E"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0411</w:t>
            </w:r>
          </w:p>
        </w:tc>
        <w:tc>
          <w:tcPr>
            <w:tcW w:w="7274" w:type="dxa"/>
          </w:tcPr>
          <w:p w14:paraId="33161137" w14:textId="5F59FB26" w:rsidR="00756BE3" w:rsidRPr="002A677E" w:rsidRDefault="00756BE3"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1.1.2.2.11* Lisätietoerä: Kiinteistövakuudelliset vähittäisvastuut – pk-yritykset </w:t>
            </w:r>
          </w:p>
        </w:tc>
      </w:tr>
      <w:tr w:rsidR="00756BE3" w:rsidRPr="002A677E" w14:paraId="4810E73E" w14:textId="77777777" w:rsidTr="00822842">
        <w:tc>
          <w:tcPr>
            <w:tcW w:w="1591" w:type="dxa"/>
          </w:tcPr>
          <w:p w14:paraId="2A36D16B" w14:textId="6E67FFF1" w:rsidR="00756BE3" w:rsidRPr="002A677E"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0412</w:t>
            </w:r>
          </w:p>
        </w:tc>
        <w:tc>
          <w:tcPr>
            <w:tcW w:w="7274" w:type="dxa"/>
          </w:tcPr>
          <w:p w14:paraId="140CBF3B" w14:textId="5B46DEF4" w:rsidR="00756BE3" w:rsidRPr="002A677E" w:rsidRDefault="00756BE3"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1.1.2.2.11** Lisätietoerä: Kiinteistövakuudelliset vähittäisvastuut – muut kuin pk-yritykset</w:t>
            </w:r>
          </w:p>
        </w:tc>
      </w:tr>
      <w:tr w:rsidR="00756BE3" w:rsidRPr="002A677E" w14:paraId="1D3FD668" w14:textId="77777777" w:rsidTr="00822842">
        <w:tc>
          <w:tcPr>
            <w:tcW w:w="1591" w:type="dxa"/>
          </w:tcPr>
          <w:p w14:paraId="467A0069" w14:textId="5C2F7CED" w:rsidR="00756BE3" w:rsidRPr="002A677E"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0413</w:t>
            </w:r>
          </w:p>
        </w:tc>
        <w:tc>
          <w:tcPr>
            <w:tcW w:w="7274" w:type="dxa"/>
          </w:tcPr>
          <w:p w14:paraId="516EA86A" w14:textId="609FE8F9" w:rsidR="00756BE3" w:rsidRPr="002A677E" w:rsidRDefault="00756BE3"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1.1.2.2.11*** Lisätietoerä: Muut vähittäisvastuut – pk-yritykset</w:t>
            </w:r>
          </w:p>
        </w:tc>
      </w:tr>
      <w:tr w:rsidR="00756BE3" w:rsidRPr="002A677E" w14:paraId="1B3D655A" w14:textId="77777777" w:rsidTr="00822842">
        <w:tc>
          <w:tcPr>
            <w:tcW w:w="1591" w:type="dxa"/>
          </w:tcPr>
          <w:p w14:paraId="6DAE7B9E" w14:textId="0E4F0404" w:rsidR="00756BE3" w:rsidRPr="002A677E"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0414</w:t>
            </w:r>
          </w:p>
        </w:tc>
        <w:tc>
          <w:tcPr>
            <w:tcW w:w="7274" w:type="dxa"/>
          </w:tcPr>
          <w:p w14:paraId="59C95136" w14:textId="0AF9E70F" w:rsidR="00756BE3" w:rsidRPr="002A677E" w:rsidRDefault="00756BE3"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1.1.2.2.11**** Lisätietoerä: Vähittäisvastuut – muut (muut kuin pk-yritykset)</w:t>
            </w:r>
          </w:p>
        </w:tc>
      </w:tr>
      <w:tr w:rsidR="00CC7D2C" w:rsidRPr="000B73D5" w14:paraId="19BF2238" w14:textId="77777777" w:rsidTr="00822842">
        <w:tc>
          <w:tcPr>
            <w:tcW w:w="1591" w:type="dxa"/>
          </w:tcPr>
          <w:p w14:paraId="72AC328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274" w:type="dxa"/>
          </w:tcPr>
          <w:p w14:paraId="531B488C"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rPr>
                <w:rStyle w:val="InstructionsTabelleberschrift"/>
                <w:rFonts w:ascii="Times New Roman" w:hAnsi="Times New Roman"/>
                <w:sz w:val="24"/>
              </w:rPr>
              <w:tab/>
              <w:t>Oman pääoman ehtoiset vastuut (IRB-menetelmä)</w:t>
            </w:r>
          </w:p>
          <w:p w14:paraId="58BB0517" w14:textId="77777777" w:rsidR="00CC7D2C" w:rsidRPr="000B73D5" w:rsidRDefault="00CC7D2C" w:rsidP="00822842">
            <w:pPr>
              <w:rPr>
                <w:rStyle w:val="FormatvorlageInstructionsTabelleText"/>
                <w:rFonts w:ascii="Times New Roman" w:hAnsi="Times New Roman"/>
                <w:sz w:val="24"/>
                <w:lang w:val="en-IE"/>
              </w:rPr>
            </w:pPr>
            <w:r w:rsidRPr="000B73D5">
              <w:rPr>
                <w:rStyle w:val="FormatvorlageInstructionsTabelleText"/>
                <w:rFonts w:ascii="Times New Roman" w:hAnsi="Times New Roman"/>
                <w:sz w:val="24"/>
                <w:lang w:val="en-IE"/>
              </w:rPr>
              <w:t>Ks. CR EQU IRB -</w:t>
            </w:r>
            <w:proofErr w:type="spellStart"/>
            <w:r w:rsidRPr="000B73D5">
              <w:rPr>
                <w:rStyle w:val="FormatvorlageInstructionsTabelleText"/>
                <w:rFonts w:ascii="Times New Roman" w:hAnsi="Times New Roman"/>
                <w:sz w:val="24"/>
                <w:lang w:val="en-IE"/>
              </w:rPr>
              <w:t>lomake</w:t>
            </w:r>
            <w:proofErr w:type="spellEnd"/>
            <w:r w:rsidRPr="000B73D5">
              <w:rPr>
                <w:rStyle w:val="FormatvorlageInstructionsTabelleText"/>
                <w:rFonts w:ascii="Times New Roman" w:hAnsi="Times New Roman"/>
                <w:sz w:val="24"/>
                <w:lang w:val="en-IE"/>
              </w:rPr>
              <w:t>.</w:t>
            </w:r>
          </w:p>
        </w:tc>
      </w:tr>
      <w:tr w:rsidR="00CC7D2C" w14:paraId="3572A03E" w14:textId="77777777" w:rsidTr="00822842">
        <w:trPr>
          <w:trHeight w:val="300"/>
        </w:trPr>
        <w:tc>
          <w:tcPr>
            <w:tcW w:w="1591" w:type="dxa"/>
          </w:tcPr>
          <w:p w14:paraId="5490702C"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0425</w:t>
            </w:r>
          </w:p>
        </w:tc>
        <w:tc>
          <w:tcPr>
            <w:tcW w:w="7274" w:type="dxa"/>
          </w:tcPr>
          <w:p w14:paraId="442C19CE"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1.1.2.4 Yhteistä sijoitustoimintaa harjoittavat yritykset</w:t>
            </w:r>
          </w:p>
          <w:p w14:paraId="6AE6DB29"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Ks. CR IRB -lomake.</w:t>
            </w:r>
          </w:p>
        </w:tc>
      </w:tr>
      <w:tr w:rsidR="00CC7D2C" w:rsidRPr="002A677E" w14:paraId="7B2915BA" w14:textId="77777777" w:rsidTr="00822842">
        <w:tc>
          <w:tcPr>
            <w:tcW w:w="1591" w:type="dxa"/>
          </w:tcPr>
          <w:p w14:paraId="097A372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274" w:type="dxa"/>
          </w:tcPr>
          <w:p w14:paraId="30A38C38"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rPr>
                <w:rStyle w:val="InstructionsTabelleberschrift"/>
                <w:rFonts w:ascii="Times New Roman" w:hAnsi="Times New Roman"/>
                <w:sz w:val="24"/>
              </w:rPr>
              <w:tab/>
              <w:t>Muut luottovelvoitteisiin kuulumattomat omaisuuserät</w:t>
            </w:r>
          </w:p>
          <w:p w14:paraId="0D471624"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 xml:space="preserve">Ilmoitettava määrä on asetuksen (EU) N:o 575/2013 156 artiklan mukaisesti laskettu riskipainotettu vastuuerä. </w:t>
            </w:r>
          </w:p>
        </w:tc>
      </w:tr>
      <w:tr w:rsidR="00CC7D2C" w:rsidRPr="002A677E" w14:paraId="4312E354" w14:textId="77777777" w:rsidTr="00822842">
        <w:tc>
          <w:tcPr>
            <w:tcW w:w="1591" w:type="dxa"/>
          </w:tcPr>
          <w:p w14:paraId="723378A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0455</w:t>
            </w:r>
          </w:p>
        </w:tc>
        <w:tc>
          <w:tcPr>
            <w:tcW w:w="7274" w:type="dxa"/>
          </w:tcPr>
          <w:p w14:paraId="3BA98BA5"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1.1.2.5.1 </w:t>
            </w:r>
            <w:r>
              <w:rPr>
                <w:rStyle w:val="InstructionsTabelleberschrift"/>
                <w:rFonts w:ascii="Times New Roman" w:hAnsi="Times New Roman"/>
                <w:sz w:val="24"/>
              </w:rPr>
              <w:tab/>
              <w:t>Joista aineettomiin hyödykkeisiin laskettavat ohjelmistohyödykkeet</w:t>
            </w:r>
          </w:p>
          <w:p w14:paraId="725F0A16"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Riskipainotettujen vastuuerien yhteismäärä, joka liittyy aineettomiin hyödykkeisiin laskettavien ohjelmistohyödykkeiden siihen osaan, jota ei vähennetä ydinpääomasta (CET1) asetuksen (EU) N:o 575/2013 36 artiklan 1 kohdan b alakohdan mukaisesti mutta joka on riskipainotettu kyseisen asetuksen 156 artiklan mukaisesti.</w:t>
            </w:r>
          </w:p>
        </w:tc>
      </w:tr>
      <w:tr w:rsidR="00CC7D2C" w:rsidRPr="002A677E" w14:paraId="555D876B" w14:textId="77777777" w:rsidTr="00822842">
        <w:tc>
          <w:tcPr>
            <w:tcW w:w="1591" w:type="dxa"/>
          </w:tcPr>
          <w:p w14:paraId="46A7F8B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274" w:type="dxa"/>
          </w:tcPr>
          <w:p w14:paraId="34FE41BA"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rPr>
                <w:rStyle w:val="InstructionsTabelleberschrift"/>
                <w:rFonts w:ascii="Times New Roman" w:hAnsi="Times New Roman"/>
                <w:sz w:val="24"/>
              </w:rPr>
              <w:tab/>
              <w:t>Keskusvastapuolen maksukyvyttömyysrahaston osuuksiin liittyvän riskin määrä</w:t>
            </w:r>
          </w:p>
          <w:p w14:paraId="192C58F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Asetuksen (EU) N:o 575/2013 307, 308 ja 309 artikla</w:t>
            </w:r>
          </w:p>
        </w:tc>
      </w:tr>
      <w:tr w:rsidR="00CC7D2C" w:rsidRPr="002A677E" w14:paraId="3CD00168" w14:textId="77777777" w:rsidTr="00822842">
        <w:tc>
          <w:tcPr>
            <w:tcW w:w="1591" w:type="dxa"/>
          </w:tcPr>
          <w:p w14:paraId="0020FA9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274" w:type="dxa"/>
          </w:tcPr>
          <w:p w14:paraId="0C3A9A8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1.1.4 </w:t>
            </w:r>
            <w:r>
              <w:rPr>
                <w:rStyle w:val="InstructionsTabelleberschrift"/>
                <w:rFonts w:ascii="Times New Roman" w:hAnsi="Times New Roman"/>
                <w:sz w:val="24"/>
              </w:rPr>
              <w:tab/>
            </w:r>
            <w:proofErr w:type="spellStart"/>
            <w:r>
              <w:rPr>
                <w:rStyle w:val="InstructionsTabelleberschrift"/>
                <w:rFonts w:ascii="Times New Roman" w:hAnsi="Times New Roman"/>
                <w:sz w:val="24"/>
              </w:rPr>
              <w:t>Arvopaperistamispositiot</w:t>
            </w:r>
            <w:proofErr w:type="spellEnd"/>
          </w:p>
          <w:p w14:paraId="3F47B3F8"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Ks. CR SEC -lomake.</w:t>
            </w:r>
          </w:p>
        </w:tc>
      </w:tr>
      <w:tr w:rsidR="00CC7D2C" w:rsidRPr="002A677E" w14:paraId="1C17D3F6" w14:textId="77777777" w:rsidTr="00822842">
        <w:tc>
          <w:tcPr>
            <w:tcW w:w="1591" w:type="dxa"/>
          </w:tcPr>
          <w:p w14:paraId="12D2D8E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274" w:type="dxa"/>
          </w:tcPr>
          <w:p w14:paraId="3DD82C39" w14:textId="77777777" w:rsidR="00CC7D2C" w:rsidRPr="002A677E" w:rsidRDefault="00CC7D2C" w:rsidP="00320EFD">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rPr>
                <w:rStyle w:val="InstructionsTabelleberschrift"/>
                <w:rFonts w:ascii="Times New Roman" w:hAnsi="Times New Roman"/>
                <w:sz w:val="24"/>
              </w:rPr>
              <w:tab/>
              <w:t>SELVITYS-/TOIMITUSRISKIN MUODOSTAMAN KOKONAISRISKIN MÄÄRÄ</w:t>
            </w:r>
          </w:p>
          <w:p w14:paraId="29256EC9" w14:textId="56C51734"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 xml:space="preserve">Asetuksen (EU) N:o 575/2013 92 artiklan 3 kohta ja 92 artiklan 4 kohdan </w:t>
            </w:r>
            <w:proofErr w:type="spellStart"/>
            <w:r>
              <w:rPr>
                <w:rStyle w:val="FormatvorlageInstructionsTabelleText"/>
                <w:rFonts w:ascii="Times New Roman" w:hAnsi="Times New Roman"/>
                <w:sz w:val="24"/>
              </w:rPr>
              <w:t>ca</w:t>
            </w:r>
            <w:proofErr w:type="spellEnd"/>
            <w:r>
              <w:rPr>
                <w:rStyle w:val="FormatvorlageInstructionsTabelleText"/>
                <w:rFonts w:ascii="Times New Roman" w:hAnsi="Times New Roman"/>
                <w:sz w:val="24"/>
              </w:rPr>
              <w:t xml:space="preserve"> alakohta</w:t>
            </w:r>
          </w:p>
        </w:tc>
      </w:tr>
      <w:tr w:rsidR="00CC7D2C" w:rsidRPr="002A677E" w14:paraId="4EEACEE9" w14:textId="77777777" w:rsidTr="00822842">
        <w:tc>
          <w:tcPr>
            <w:tcW w:w="1591" w:type="dxa"/>
          </w:tcPr>
          <w:p w14:paraId="592B4E0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274" w:type="dxa"/>
          </w:tcPr>
          <w:p w14:paraId="6D5D04DC"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rPr>
                <w:rStyle w:val="InstructionsTabelleberschrift"/>
                <w:rFonts w:ascii="Times New Roman" w:hAnsi="Times New Roman"/>
                <w:sz w:val="24"/>
              </w:rPr>
              <w:tab/>
              <w:t>Kaupankäyntivaraston ulkopuolinen selvitys-/toimitusriski</w:t>
            </w:r>
          </w:p>
          <w:p w14:paraId="24904D1B"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Ks. CR SETT -lomake.</w:t>
            </w:r>
          </w:p>
        </w:tc>
      </w:tr>
      <w:tr w:rsidR="00CC7D2C" w:rsidRPr="002A677E" w14:paraId="557832BB" w14:textId="77777777" w:rsidTr="00822842">
        <w:tc>
          <w:tcPr>
            <w:tcW w:w="1591" w:type="dxa"/>
          </w:tcPr>
          <w:p w14:paraId="2110B32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274" w:type="dxa"/>
          </w:tcPr>
          <w:p w14:paraId="18B50E2C"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rPr>
                <w:rStyle w:val="InstructionsTabelleberschrift"/>
                <w:rFonts w:ascii="Times New Roman" w:hAnsi="Times New Roman"/>
                <w:sz w:val="24"/>
              </w:rPr>
              <w:tab/>
              <w:t>Kaupankäyntivarastoon sisältyvä selvitys-/toimitusriski</w:t>
            </w:r>
          </w:p>
          <w:p w14:paraId="74ED7A42"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Ks. CR SETT -lomake.</w:t>
            </w:r>
          </w:p>
        </w:tc>
      </w:tr>
      <w:tr w:rsidR="00CC7D2C" w:rsidRPr="002A677E" w14:paraId="446AA97B" w14:textId="77777777" w:rsidTr="00822842">
        <w:tc>
          <w:tcPr>
            <w:tcW w:w="1591" w:type="dxa"/>
          </w:tcPr>
          <w:p w14:paraId="7F3F1A6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0520</w:t>
            </w:r>
          </w:p>
        </w:tc>
        <w:tc>
          <w:tcPr>
            <w:tcW w:w="7274" w:type="dxa"/>
          </w:tcPr>
          <w:p w14:paraId="32E4E5E4" w14:textId="6217F77C"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rPr>
                <w:rStyle w:val="InstructionsTabelleberschrift"/>
                <w:rFonts w:ascii="Times New Roman" w:hAnsi="Times New Roman"/>
                <w:sz w:val="24"/>
              </w:rPr>
              <w:tab/>
              <w:t>MARKKINARISKILLE ALTISTUVAN LIIKETOIMINNAN KOKONAISRISKIN MÄÄRÄ</w:t>
            </w:r>
          </w:p>
          <w:p w14:paraId="12543B11" w14:textId="7D8A496A" w:rsidR="00CC7D2C" w:rsidRPr="002A677E" w:rsidRDefault="00CC7D2C" w:rsidP="00320EFD">
            <w:pPr>
              <w:pStyle w:val="InstructionsText"/>
              <w:rPr>
                <w:rStyle w:val="FormatvorlageInstructionsTabelleText"/>
                <w:rFonts w:ascii="Times New Roman" w:hAnsi="Times New Roman"/>
                <w:bCs w:val="0"/>
                <w:sz w:val="24"/>
              </w:rPr>
            </w:pPr>
            <w:r>
              <w:t>Asetuksen (EU) N:o 575/2013 92 artiklan 4 kohdan b alakohdan i alakohta ja c alakohta, 5 kohdan b alakohta, 7 kohdan b alakohta</w:t>
            </w:r>
          </w:p>
        </w:tc>
      </w:tr>
      <w:tr w:rsidR="00CC7D2C" w:rsidRPr="002A677E" w14:paraId="68C87EDE" w14:textId="77777777" w:rsidTr="00822842">
        <w:tc>
          <w:tcPr>
            <w:tcW w:w="1591" w:type="dxa"/>
          </w:tcPr>
          <w:p w14:paraId="4AF4B74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274" w:type="dxa"/>
          </w:tcPr>
          <w:p w14:paraId="29276E8A" w14:textId="3D2F6084"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rPr>
                <w:rStyle w:val="InstructionsTabelleberschrift"/>
                <w:rFonts w:ascii="Times New Roman" w:hAnsi="Times New Roman"/>
                <w:sz w:val="24"/>
              </w:rPr>
              <w:tab/>
              <w:t>Markkinariskille altistuvan liiketoiminnan riskin määrä, yksinomaan yksinkertaistettua standardimenetelmää (SSA) soveltavien yhteisöjen laskema</w:t>
            </w:r>
          </w:p>
        </w:tc>
      </w:tr>
      <w:tr w:rsidR="00CC7D2C" w:rsidRPr="002A677E" w14:paraId="39DF4E48" w14:textId="77777777" w:rsidTr="00822842">
        <w:tc>
          <w:tcPr>
            <w:tcW w:w="1591" w:type="dxa"/>
          </w:tcPr>
          <w:p w14:paraId="6EB8099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274" w:type="dxa"/>
          </w:tcPr>
          <w:p w14:paraId="25544111" w14:textId="77777777" w:rsidR="00CC7D2C" w:rsidRPr="008F3052"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1.3.1.1</w:t>
            </w:r>
            <w:r>
              <w:rPr>
                <w:rStyle w:val="InstructionsTabelleberschrift"/>
                <w:rFonts w:ascii="Times New Roman" w:hAnsi="Times New Roman"/>
                <w:sz w:val="24"/>
              </w:rPr>
              <w:tab/>
              <w:t>Kaupankäynnin kohteena olevat vieraan pääoman ehtoiset rahoitusinstrumentit</w:t>
            </w:r>
          </w:p>
          <w:p w14:paraId="2C50FBF9"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MKR SA TDI -lomaketta sovelletaan valuuttojen yhteismäärän tasolla.</w:t>
            </w:r>
          </w:p>
        </w:tc>
      </w:tr>
      <w:tr w:rsidR="00CC7D2C" w:rsidRPr="002A677E" w14:paraId="5DBE1E93" w14:textId="77777777" w:rsidTr="00822842">
        <w:tc>
          <w:tcPr>
            <w:tcW w:w="1591" w:type="dxa"/>
          </w:tcPr>
          <w:p w14:paraId="46CAFD4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274" w:type="dxa"/>
          </w:tcPr>
          <w:p w14:paraId="7463F79E"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rPr>
                <w:rStyle w:val="InstructionsTabelleberschrift"/>
                <w:rFonts w:ascii="Times New Roman" w:hAnsi="Times New Roman"/>
                <w:sz w:val="24"/>
              </w:rPr>
              <w:tab/>
              <w:t>Oman pääoman ehtoiset sijoitukset</w:t>
            </w:r>
          </w:p>
          <w:p w14:paraId="3A1F4C47"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 xml:space="preserve">MKR SA EQU -lomaketta sovelletaan kansallisten markkinoiden kokonaisarvon tasolla. </w:t>
            </w:r>
          </w:p>
        </w:tc>
      </w:tr>
      <w:tr w:rsidR="00CC7D2C" w:rsidRPr="002A677E" w14:paraId="399123E4" w14:textId="77777777" w:rsidTr="00822842">
        <w:tc>
          <w:tcPr>
            <w:tcW w:w="1591" w:type="dxa"/>
          </w:tcPr>
          <w:p w14:paraId="61A7E4F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0555</w:t>
            </w:r>
          </w:p>
        </w:tc>
        <w:tc>
          <w:tcPr>
            <w:tcW w:w="7274" w:type="dxa"/>
          </w:tcPr>
          <w:p w14:paraId="010893D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Pr>
                <w:rStyle w:val="InstructionsTabelleberschrift"/>
                <w:rFonts w:ascii="Times New Roman" w:hAnsi="Times New Roman"/>
                <w:sz w:val="24"/>
              </w:rPr>
              <w:tab/>
              <w:t>Yhteistä sijoitustoimintaa harjoittaviin yrityksiin liittyviin positioriskeihin sovellettava erityismenetelmä</w:t>
            </w:r>
          </w:p>
          <w:p w14:paraId="411CF92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Asetuksen (EU) N:o 575/2013 348 artiklan 1 kohta, 350 artiklan 3 kohdan c alakohta ja 364 artiklan 2 kohdan a alakohta</w:t>
            </w:r>
          </w:p>
          <w:p w14:paraId="0F8EF050" w14:textId="77777777" w:rsidR="00CC7D2C" w:rsidRPr="002A677E"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Yhteistä sijoitustoimintaa harjoittavissa yrityksissä olevien positioiden kokonaisriskin määrä, jos pääomavaatimukset lasketaan asetuksen (EU) N:o 575/2013 348 artiklan 1 kohdan mukaisesti joko välittömästi tai kyseisen asetuksen 350 artiklan 3 kohdan c alakohdassa vahvistetun ylärajan seurauksena.</w:t>
            </w:r>
            <w:r>
              <w:rPr>
                <w:rFonts w:ascii="Times New Roman" w:hAnsi="Times New Roman"/>
                <w:sz w:val="24"/>
              </w:rPr>
              <w:t xml:space="preserve"> </w:t>
            </w:r>
            <w:r>
              <w:rPr>
                <w:rStyle w:val="FormatvorlageInstructionsTabelleText"/>
                <w:rFonts w:ascii="Times New Roman" w:hAnsi="Times New Roman"/>
                <w:sz w:val="24"/>
              </w:rPr>
              <w:t>Asetuksessa (EU) N:o 575/2013 näitä positioita ei nimenomaisesti luokitella korkoriskin tai osakeriskin piiriin.</w:t>
            </w:r>
          </w:p>
          <w:p w14:paraId="79A5F344" w14:textId="77777777" w:rsidR="00CC7D2C" w:rsidRPr="002A677E"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 xml:space="preserve">Jos sovelletaan asetuksen (EU) N:o 575/2013 348 artiklan 1 kohdan ensimmäisessä virkkeessä vahvistettua erityismenetelmää, ilmoitettava määrä on 32 prosenttia kyseisen yhteistä sijoitustoimintaa harjoittavaan yritykseen liittyvän vastuun nettopositiosta kerrottuna 12,5:llä. </w:t>
            </w:r>
          </w:p>
          <w:p w14:paraId="6E727F78" w14:textId="77777777" w:rsidR="00CC7D2C" w:rsidRPr="002A677E" w:rsidRDefault="00CC7D2C" w:rsidP="00822842">
            <w:pPr>
              <w:rPr>
                <w:rStyle w:val="InstructionsTabelleberschrift"/>
                <w:rFonts w:ascii="Times New Roman" w:hAnsi="Times New Roman"/>
                <w:sz w:val="24"/>
              </w:rPr>
            </w:pPr>
            <w:r>
              <w:rPr>
                <w:rStyle w:val="FormatvorlageInstructionsTabelleText"/>
                <w:rFonts w:ascii="Times New Roman" w:hAnsi="Times New Roman"/>
                <w:sz w:val="24"/>
              </w:rPr>
              <w:t>Jos sovelletaan asetuksen (EU) N:o 575/2013 348 artiklan 1 kohdan toisessa virkkeessä vahvistettua erityismenetelmää, ilmoitettava määrä on pienempi seuraavista kahdesta luvusta: määrä, joka vastaa 32:ta prosenttia kyseisen yhteistä sijoitustoimintaa harjoittavaan yritykseen liittyvän vastuun nettopositiosta, tai määrä, joka saadaan vähentämällä 40 prosentin osuudesta kyseisessä nettopositiossa yhteistä sijoitustoimintaa harjoittavaan yritykseen liittyvään vastuuseen liittyvän valuuttakurssiriskin synnyttämien omien varojen vaatimusten määrä, vastaavasti kerrottuna 12,5:llä.</w:t>
            </w:r>
          </w:p>
        </w:tc>
      </w:tr>
      <w:tr w:rsidR="00CC7D2C" w:rsidRPr="002A677E" w14:paraId="28B80C9E" w14:textId="77777777" w:rsidTr="00822842">
        <w:tc>
          <w:tcPr>
            <w:tcW w:w="1591" w:type="dxa"/>
          </w:tcPr>
          <w:p w14:paraId="101AC11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0556</w:t>
            </w:r>
          </w:p>
        </w:tc>
        <w:tc>
          <w:tcPr>
            <w:tcW w:w="7274" w:type="dxa"/>
          </w:tcPr>
          <w:p w14:paraId="6D6D577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Pr>
                <w:rStyle w:val="InstructionsTabelleberschrift"/>
                <w:rFonts w:ascii="Times New Roman" w:hAnsi="Times New Roman"/>
                <w:sz w:val="24"/>
              </w:rPr>
              <w:tab/>
              <w:t>Lisätietoerä: pelkästään kaupankäynnin kohteena oleviin vieraan pääoman ehtoisiin rahoitusinstrumentteihin sijoitetut yhteistä sijoitustoimintaa harjoittavat yritykset</w:t>
            </w:r>
          </w:p>
          <w:p w14:paraId="16C1ED44" w14:textId="77777777" w:rsidR="00CC7D2C" w:rsidRPr="001235ED" w:rsidRDefault="00CC7D2C" w:rsidP="00822842">
            <w:pPr>
              <w:rPr>
                <w:rStyle w:val="InstructionsTabelleberschrift"/>
                <w:rFonts w:ascii="Times New Roman" w:hAnsi="Times New Roman"/>
                <w:sz w:val="24"/>
              </w:rPr>
            </w:pPr>
            <w:r>
              <w:rPr>
                <w:rStyle w:val="FormatvorlageInstructionsTabelleText"/>
                <w:rFonts w:ascii="Times New Roman" w:hAnsi="Times New Roman"/>
                <w:sz w:val="24"/>
              </w:rPr>
              <w:t>Yhteistä sijoitustoimintaa harjoittavissa yrityksissä olevien positioiden kokonaisriskin määrä, jos yhteistä sijoitustoimintaa harjoittavat yritykset on sijoitettu yksinomaan rahoitusinstrumentteihin, joihin kohdistuu korkoriski.</w:t>
            </w:r>
          </w:p>
        </w:tc>
      </w:tr>
      <w:tr w:rsidR="00CC7D2C" w:rsidRPr="002A677E" w14:paraId="4794D144" w14:textId="77777777" w:rsidTr="00822842">
        <w:tc>
          <w:tcPr>
            <w:tcW w:w="1591" w:type="dxa"/>
          </w:tcPr>
          <w:p w14:paraId="37C8C4B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0557</w:t>
            </w:r>
          </w:p>
        </w:tc>
        <w:tc>
          <w:tcPr>
            <w:tcW w:w="7274" w:type="dxa"/>
          </w:tcPr>
          <w:p w14:paraId="2C30817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Pr>
                <w:rStyle w:val="InstructionsTabelleberschrift"/>
                <w:rFonts w:ascii="Times New Roman" w:hAnsi="Times New Roman"/>
                <w:sz w:val="24"/>
              </w:rPr>
              <w:tab/>
              <w:t>pelkästään oman pääoman ehtoisiin rahoitusinstrumentteihin tai yhdistettyihin instrumentteihin sijoitetut yhteistä sijoitustoimintaa harjoittavat yritykset</w:t>
            </w:r>
          </w:p>
          <w:p w14:paraId="5BE3A744" w14:textId="77777777" w:rsidR="00CC7D2C" w:rsidRPr="001235ED" w:rsidRDefault="00CC7D2C" w:rsidP="00822842">
            <w:pPr>
              <w:rPr>
                <w:rStyle w:val="InstructionsTabelleberschrift"/>
                <w:rFonts w:ascii="Times New Roman" w:hAnsi="Times New Roman"/>
                <w:sz w:val="24"/>
              </w:rPr>
            </w:pPr>
            <w:r>
              <w:rPr>
                <w:rStyle w:val="FormatvorlageInstructionsTabelleText"/>
                <w:rFonts w:ascii="Times New Roman" w:hAnsi="Times New Roman"/>
                <w:sz w:val="24"/>
              </w:rPr>
              <w:t>Yhteistä sijoitustoimintaa harjoittavissa yrityksissä olevien positioiden kokonaisriskin määrä, jos yhteistä sijoitustoimintaa harjoittavat yritykset on sijoitettu yksinomaan rahoitusinstrumentteihin, joihin kohdistuu osakeriski, tai yhdistettyihin instrumentteihin tai jos yhteistä sijoitustoimintaa harjoittavien yritysten osatekijät ovat tuntemattomia.</w:t>
            </w:r>
          </w:p>
        </w:tc>
      </w:tr>
      <w:tr w:rsidR="00CC7D2C" w:rsidRPr="002A677E" w14:paraId="791EB8B4" w14:textId="77777777" w:rsidTr="00822842">
        <w:tc>
          <w:tcPr>
            <w:tcW w:w="1591" w:type="dxa"/>
          </w:tcPr>
          <w:p w14:paraId="332CF75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274" w:type="dxa"/>
          </w:tcPr>
          <w:p w14:paraId="5F18C18E"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rPr>
                <w:rStyle w:val="InstructionsTabelleberschrift"/>
                <w:rFonts w:ascii="Times New Roman" w:hAnsi="Times New Roman"/>
                <w:sz w:val="24"/>
              </w:rPr>
              <w:tab/>
              <w:t>Ulkomaanvaluutta</w:t>
            </w:r>
          </w:p>
          <w:p w14:paraId="53C64A5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Ks. MKR SA FX -lomake.</w:t>
            </w:r>
          </w:p>
        </w:tc>
      </w:tr>
      <w:tr w:rsidR="00CC7D2C" w:rsidRPr="002A677E" w14:paraId="14555A31" w14:textId="77777777" w:rsidTr="00822842">
        <w:tc>
          <w:tcPr>
            <w:tcW w:w="1591" w:type="dxa"/>
          </w:tcPr>
          <w:p w14:paraId="2AA0CE1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274" w:type="dxa"/>
          </w:tcPr>
          <w:p w14:paraId="760E6BF7"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rPr>
                <w:rStyle w:val="InstructionsTabelleberschrift"/>
                <w:rFonts w:ascii="Times New Roman" w:hAnsi="Times New Roman"/>
                <w:sz w:val="24"/>
              </w:rPr>
              <w:tab/>
              <w:t>Hyödykkeet</w:t>
            </w:r>
          </w:p>
          <w:p w14:paraId="2250E45C"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Ks. MKR SA COM -lomake.</w:t>
            </w:r>
          </w:p>
        </w:tc>
      </w:tr>
      <w:tr w:rsidR="00CC7D2C" w:rsidRPr="002A677E" w14:paraId="7E365434" w14:textId="77777777" w:rsidTr="00822842">
        <w:tc>
          <w:tcPr>
            <w:tcW w:w="1591" w:type="dxa"/>
          </w:tcPr>
          <w:p w14:paraId="2971C931"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0580</w:t>
            </w:r>
          </w:p>
        </w:tc>
        <w:tc>
          <w:tcPr>
            <w:tcW w:w="7274" w:type="dxa"/>
          </w:tcPr>
          <w:p w14:paraId="0D4029E8"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rPr>
                <w:rStyle w:val="InstructionsTabelleberschrift"/>
                <w:rFonts w:ascii="Times New Roman" w:hAnsi="Times New Roman"/>
                <w:sz w:val="24"/>
              </w:rPr>
              <w:tab/>
              <w:t>Positioriskin, valuuttakurssiriskin ja hyödykeriskin määrä (sisäisten mallien menetelmä)</w:t>
            </w:r>
          </w:p>
          <w:p w14:paraId="7194593C"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Ks. MKR IM -lomake.</w:t>
            </w:r>
          </w:p>
          <w:tbl>
            <w:tblPr>
              <w:tblStyle w:val="TableGrid"/>
              <w:tblW w:w="0" w:type="auto"/>
              <w:tblLook w:val="04A0" w:firstRow="1" w:lastRow="0" w:firstColumn="1" w:lastColumn="0" w:noHBand="0" w:noVBand="1"/>
            </w:tblPr>
            <w:tblGrid>
              <w:gridCol w:w="7048"/>
            </w:tblGrid>
            <w:tr w:rsidR="00CC7D2C" w14:paraId="6770C1BA" w14:textId="77777777" w:rsidTr="00822842">
              <w:tc>
                <w:tcPr>
                  <w:tcW w:w="7048" w:type="dxa"/>
                </w:tcPr>
                <w:p w14:paraId="6330363A" w14:textId="77777777" w:rsidR="00CC7D2C" w:rsidRPr="0051092B" w:rsidRDefault="00CC7D2C" w:rsidP="00822842">
                  <w:pPr>
                    <w:pStyle w:val="body"/>
                    <w:rPr>
                      <w:b/>
                      <w:bCs/>
                    </w:rPr>
                  </w:pPr>
                  <w:r>
                    <w:rPr>
                      <w:b/>
                    </w:rPr>
                    <w:t>Selittävä teksti konsultointitarkoituksiin</w:t>
                  </w:r>
                </w:p>
                <w:p w14:paraId="4B9D2A68" w14:textId="77777777" w:rsidR="00CC7D2C" w:rsidRDefault="00CC7D2C" w:rsidP="00822842">
                  <w:pPr>
                    <w:rPr>
                      <w:rStyle w:val="FormatvorlageInstructionsTabelleText"/>
                      <w:rFonts w:ascii="Times New Roman" w:hAnsi="Times New Roman"/>
                      <w:sz w:val="24"/>
                    </w:rPr>
                  </w:pPr>
                  <w:r>
                    <w:t>Tämä rivi poistetaan, kun nykyistä sisäisten mallien menetelmää ei voida enää käyttää omien varojen vaatimusten laskemiseen markkinariskien osalta.</w:t>
                  </w:r>
                </w:p>
              </w:tc>
            </w:tr>
          </w:tbl>
          <w:p w14:paraId="6BC4F6A0" w14:textId="77777777" w:rsidR="00CC7D2C" w:rsidRPr="001235ED" w:rsidRDefault="00CC7D2C" w:rsidP="00822842">
            <w:pPr>
              <w:rPr>
                <w:rStyle w:val="FormatvorlageInstructionsTabelleText"/>
                <w:rFonts w:ascii="Times New Roman" w:hAnsi="Times New Roman"/>
                <w:sz w:val="24"/>
              </w:rPr>
            </w:pPr>
          </w:p>
        </w:tc>
      </w:tr>
      <w:tr w:rsidR="00CC7D2C" w:rsidRPr="002A677E" w14:paraId="1E745BE0" w14:textId="77777777" w:rsidTr="00822842">
        <w:tc>
          <w:tcPr>
            <w:tcW w:w="1591" w:type="dxa"/>
          </w:tcPr>
          <w:p w14:paraId="0549474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0581</w:t>
            </w:r>
          </w:p>
        </w:tc>
        <w:tc>
          <w:tcPr>
            <w:tcW w:w="7274" w:type="dxa"/>
          </w:tcPr>
          <w:p w14:paraId="67412AEA"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1.3.3 Yksinomaan vaihtoehtoista standardimenetelmää (ASA) soveltavien yhteisöjen markkinariskille altistuvien tase-erien ja taseen ulkopuolisten erien riskin määrä</w:t>
            </w:r>
          </w:p>
          <w:p w14:paraId="4A1839F6" w14:textId="77777777" w:rsidR="00CC7D2C" w:rsidRPr="004F03AE" w:rsidRDefault="00CC7D2C" w:rsidP="00822842">
            <w:pPr>
              <w:rPr>
                <w:rStyle w:val="InstructionsTabelleberschrift"/>
                <w:rFonts w:ascii="Times New Roman" w:hAnsi="Times New Roman"/>
                <w:b w:val="0"/>
                <w:sz w:val="24"/>
                <w:u w:val="none"/>
              </w:rPr>
            </w:pPr>
            <w:r>
              <w:rPr>
                <w:rStyle w:val="FormatvorlageInstructionsTabelleText"/>
                <w:rFonts w:ascii="Times New Roman" w:hAnsi="Times New Roman"/>
                <w:sz w:val="24"/>
              </w:rPr>
              <w:t>Ks. MKR ASA SUM -lomake.</w:t>
            </w:r>
          </w:p>
        </w:tc>
      </w:tr>
      <w:tr w:rsidR="00CC7D2C" w:rsidRPr="002A677E" w14:paraId="49157266" w14:textId="77777777" w:rsidTr="00822842">
        <w:tc>
          <w:tcPr>
            <w:tcW w:w="1591" w:type="dxa"/>
          </w:tcPr>
          <w:p w14:paraId="70F55B1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0585</w:t>
            </w:r>
          </w:p>
        </w:tc>
        <w:tc>
          <w:tcPr>
            <w:tcW w:w="7274" w:type="dxa"/>
          </w:tcPr>
          <w:p w14:paraId="0FB57753"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1.3.4 Yksinomaan vaihtoehtoisten sisäisten mallien menetelmää (AIMA) tai </w:t>
            </w:r>
            <w:proofErr w:type="spellStart"/>
            <w:r>
              <w:rPr>
                <w:rStyle w:val="InstructionsTabelleberschrift"/>
                <w:rFonts w:ascii="Times New Roman" w:hAnsi="Times New Roman"/>
                <w:sz w:val="24"/>
              </w:rPr>
              <w:t>AIMA:n</w:t>
            </w:r>
            <w:proofErr w:type="spellEnd"/>
            <w:r>
              <w:rPr>
                <w:rStyle w:val="InstructionsTabelleberschrift"/>
                <w:rFonts w:ascii="Times New Roman" w:hAnsi="Times New Roman"/>
                <w:sz w:val="24"/>
              </w:rPr>
              <w:t xml:space="preserve"> ja </w:t>
            </w:r>
            <w:proofErr w:type="spellStart"/>
            <w:r>
              <w:rPr>
                <w:rStyle w:val="InstructionsTabelleberschrift"/>
                <w:rFonts w:ascii="Times New Roman" w:hAnsi="Times New Roman"/>
                <w:sz w:val="24"/>
              </w:rPr>
              <w:t>ASA:n</w:t>
            </w:r>
            <w:proofErr w:type="spellEnd"/>
            <w:r>
              <w:rPr>
                <w:rStyle w:val="InstructionsTabelleberschrift"/>
                <w:rFonts w:ascii="Times New Roman" w:hAnsi="Times New Roman"/>
                <w:sz w:val="24"/>
              </w:rPr>
              <w:t xml:space="preserve"> yhdistelmää soveltavien yhteisöjen markkinariskille altistuvien tase-erien ja taseen ulkopuolisten erien riskin määrä</w:t>
            </w:r>
          </w:p>
          <w:p w14:paraId="3FAF7482" w14:textId="77777777" w:rsidR="00CC7D2C" w:rsidRPr="004F03AE" w:rsidRDefault="00CC7D2C" w:rsidP="00822842">
            <w:pPr>
              <w:rPr>
                <w:rStyle w:val="InstructionsTabelleberschrift"/>
                <w:rFonts w:ascii="Times New Roman" w:hAnsi="Times New Roman"/>
                <w:b w:val="0"/>
                <w:sz w:val="24"/>
                <w:u w:val="none"/>
              </w:rPr>
            </w:pPr>
            <w:r>
              <w:rPr>
                <w:rStyle w:val="FormatvorlageInstructionsTabelleText"/>
                <w:rFonts w:ascii="Times New Roman" w:hAnsi="Times New Roman"/>
                <w:sz w:val="24"/>
              </w:rPr>
              <w:t>Ks. MKR AIMA SUM -lomake.</w:t>
            </w:r>
          </w:p>
        </w:tc>
      </w:tr>
      <w:tr w:rsidR="00CC7D2C" w:rsidRPr="002A677E" w14:paraId="63471CBC" w14:textId="77777777" w:rsidTr="00822842">
        <w:tc>
          <w:tcPr>
            <w:tcW w:w="1591" w:type="dxa"/>
          </w:tcPr>
          <w:p w14:paraId="56D27E5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0589</w:t>
            </w:r>
          </w:p>
        </w:tc>
        <w:tc>
          <w:tcPr>
            <w:tcW w:w="7274" w:type="dxa"/>
          </w:tcPr>
          <w:p w14:paraId="644657F3"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 KAUPANKÄYNTIVARASTON JA SEN ULKOPUOLISTEN ERIEN VÄLISISTÄ UUDELLEENLUOKITUKSISTA AIHEUTUVAN RISKIN MÄÄRÄ</w:t>
            </w:r>
          </w:p>
          <w:p w14:paraId="79A8FEE2" w14:textId="77777777" w:rsidR="00CC7D2C" w:rsidRPr="004F03AE" w:rsidRDefault="00CC7D2C" w:rsidP="00822842">
            <w:pPr>
              <w:rPr>
                <w:rStyle w:val="InstructionsTabelleberschrift"/>
                <w:rFonts w:ascii="Times New Roman" w:hAnsi="Times New Roman"/>
                <w:b w:val="0"/>
                <w:sz w:val="24"/>
                <w:u w:val="none"/>
              </w:rPr>
            </w:pPr>
            <w:r>
              <w:rPr>
                <w:rStyle w:val="FormatvorlageInstructionsTabelleText"/>
                <w:rFonts w:ascii="Times New Roman" w:hAnsi="Times New Roman"/>
                <w:sz w:val="24"/>
              </w:rPr>
              <w:t>Ks. MOV-lomake.</w:t>
            </w:r>
          </w:p>
        </w:tc>
      </w:tr>
      <w:tr w:rsidR="00CC7D2C" w:rsidRPr="002A677E" w14:paraId="7CCF2266" w14:textId="77777777" w:rsidTr="00822842">
        <w:tc>
          <w:tcPr>
            <w:tcW w:w="1591" w:type="dxa"/>
          </w:tcPr>
          <w:p w14:paraId="3A26433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274" w:type="dxa"/>
          </w:tcPr>
          <w:p w14:paraId="68ED9CE6"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rPr>
                <w:rStyle w:val="InstructionsTabelleberschrift"/>
                <w:rFonts w:ascii="Times New Roman" w:hAnsi="Times New Roman"/>
                <w:sz w:val="24"/>
              </w:rPr>
              <w:tab/>
              <w:t>OPERATIIVISEN KOKONAISRISKIN MÄÄRÄ (</w:t>
            </w:r>
            <w:proofErr w:type="spellStart"/>
            <w:r>
              <w:rPr>
                <w:rStyle w:val="InstructionsTabelleberschrift"/>
                <w:rFonts w:ascii="Times New Roman" w:hAnsi="Times New Roman"/>
                <w:sz w:val="24"/>
              </w:rPr>
              <w:t>OpR</w:t>
            </w:r>
            <w:proofErr w:type="spellEnd"/>
            <w:r>
              <w:rPr>
                <w:rStyle w:val="InstructionsTabelleberschrift"/>
                <w:rFonts w:ascii="Times New Roman" w:hAnsi="Times New Roman"/>
                <w:sz w:val="24"/>
              </w:rPr>
              <w:t>)</w:t>
            </w:r>
          </w:p>
          <w:p w14:paraId="7EA9106C" w14:textId="45CAC894" w:rsidR="00CC7D2C" w:rsidRPr="002A677E" w:rsidRDefault="00CC7D2C" w:rsidP="00320EF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Asetuksen (EU) N:o 575/2013 92 artiklan 3 kohta ja 92 artiklan 4 kohdan e alakohta</w:t>
            </w:r>
          </w:p>
          <w:p w14:paraId="36E7FC84"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Asetuksen (EU) N:o 575/2013 95 artiklan 2 kohdan, 96 artiklan 2 kohdan ja 98 artiklan soveltamisalaan kuuluvilla sijoituspalveluyrityksillä tämän erän määrä on nolla.</w:t>
            </w:r>
          </w:p>
        </w:tc>
      </w:tr>
      <w:tr w:rsidR="00CC7D2C" w:rsidRPr="002A677E" w14:paraId="74D25245" w14:textId="77777777" w:rsidTr="00822842">
        <w:tc>
          <w:tcPr>
            <w:tcW w:w="1591" w:type="dxa"/>
          </w:tcPr>
          <w:p w14:paraId="3167AA14" w14:textId="0F7DC124" w:rsidR="00CC7D2C" w:rsidRPr="002A677E" w:rsidRDefault="00CC7D2C" w:rsidP="00320EFD">
            <w:pPr>
              <w:pStyle w:val="InstructionsText"/>
              <w:rPr>
                <w:rStyle w:val="FormatvorlageInstructionsTabelleText"/>
                <w:rFonts w:ascii="Times New Roman" w:hAnsi="Times New Roman"/>
                <w:bCs w:val="0"/>
                <w:sz w:val="24"/>
                <w:lang w:eastAsia="en-US"/>
              </w:rPr>
            </w:pPr>
          </w:p>
        </w:tc>
        <w:tc>
          <w:tcPr>
            <w:tcW w:w="7274" w:type="dxa"/>
          </w:tcPr>
          <w:p w14:paraId="6F06D97C" w14:textId="2F7CE596" w:rsidR="00CC7D2C" w:rsidRPr="001235ED" w:rsidRDefault="00CC7D2C" w:rsidP="00822842">
            <w:pPr>
              <w:rPr>
                <w:rStyle w:val="FormatvorlageInstructionsTabelleText"/>
                <w:rFonts w:ascii="Times New Roman" w:hAnsi="Times New Roman"/>
                <w:sz w:val="24"/>
              </w:rPr>
            </w:pPr>
          </w:p>
        </w:tc>
      </w:tr>
      <w:tr w:rsidR="00CC7D2C" w:rsidRPr="002A677E" w14:paraId="396250F7" w14:textId="77777777" w:rsidTr="00822842">
        <w:tc>
          <w:tcPr>
            <w:tcW w:w="1591" w:type="dxa"/>
          </w:tcPr>
          <w:p w14:paraId="43AB1462" w14:textId="6580839B" w:rsidR="00CC7D2C" w:rsidRPr="001235ED" w:rsidRDefault="00CC7D2C" w:rsidP="00320EFD">
            <w:pPr>
              <w:pStyle w:val="InstructionsText"/>
              <w:rPr>
                <w:rStyle w:val="FormatvorlageInstructionsTabelleText"/>
                <w:rFonts w:ascii="Times New Roman" w:hAnsi="Times New Roman"/>
                <w:sz w:val="24"/>
                <w:lang w:eastAsia="en-US"/>
              </w:rPr>
            </w:pPr>
          </w:p>
        </w:tc>
        <w:tc>
          <w:tcPr>
            <w:tcW w:w="7274" w:type="dxa"/>
          </w:tcPr>
          <w:p w14:paraId="62F057B9" w14:textId="6AD7CDD8" w:rsidR="00CC7D2C" w:rsidRPr="001235ED" w:rsidRDefault="00CC7D2C" w:rsidP="00822842">
            <w:pPr>
              <w:rPr>
                <w:rStyle w:val="FormatvorlageInstructionsTabelleText"/>
                <w:rFonts w:ascii="Times New Roman" w:hAnsi="Times New Roman"/>
                <w:sz w:val="24"/>
              </w:rPr>
            </w:pPr>
          </w:p>
        </w:tc>
      </w:tr>
      <w:tr w:rsidR="00CC7D2C" w:rsidRPr="002A677E" w14:paraId="724AC472" w14:textId="77777777" w:rsidTr="00822842">
        <w:tc>
          <w:tcPr>
            <w:tcW w:w="1591" w:type="dxa"/>
          </w:tcPr>
          <w:p w14:paraId="0BC8D7C5" w14:textId="7400D9FE" w:rsidR="00CC7D2C" w:rsidRPr="001235ED" w:rsidRDefault="00CC7D2C" w:rsidP="00320EFD">
            <w:pPr>
              <w:pStyle w:val="InstructionsText"/>
              <w:rPr>
                <w:rStyle w:val="FormatvorlageInstructionsTabelleText"/>
                <w:rFonts w:ascii="Times New Roman" w:hAnsi="Times New Roman"/>
                <w:sz w:val="24"/>
                <w:lang w:eastAsia="en-US"/>
              </w:rPr>
            </w:pPr>
          </w:p>
        </w:tc>
        <w:tc>
          <w:tcPr>
            <w:tcW w:w="7274" w:type="dxa"/>
          </w:tcPr>
          <w:p w14:paraId="2DDF8053" w14:textId="59A3B4DA" w:rsidR="00CC7D2C" w:rsidRPr="001235ED" w:rsidRDefault="00CC7D2C" w:rsidP="00822842">
            <w:pPr>
              <w:rPr>
                <w:rStyle w:val="FormatvorlageInstructionsTabelleText"/>
                <w:rFonts w:ascii="Times New Roman" w:hAnsi="Times New Roman"/>
                <w:sz w:val="24"/>
              </w:rPr>
            </w:pPr>
          </w:p>
        </w:tc>
      </w:tr>
      <w:tr w:rsidR="00CC7D2C" w:rsidRPr="002A677E" w14:paraId="481381E3" w14:textId="77777777" w:rsidTr="00822842">
        <w:tc>
          <w:tcPr>
            <w:tcW w:w="1591" w:type="dxa"/>
          </w:tcPr>
          <w:p w14:paraId="395F308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274" w:type="dxa"/>
          </w:tcPr>
          <w:p w14:paraId="13D50F66"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rPr>
                <w:rStyle w:val="InstructionsTabelleberschrift"/>
                <w:rFonts w:ascii="Times New Roman" w:hAnsi="Times New Roman"/>
                <w:sz w:val="24"/>
              </w:rPr>
              <w:tab/>
              <w:t>KIINTEISTÄ YLEISKUSTANNUKSISTA AIHEUTUVAN YLIMÄÄRÄISEN RISKIN MÄÄRÄ</w:t>
            </w:r>
          </w:p>
          <w:p w14:paraId="6FBC6E8E"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Asetuksen (EU) N:o 575/2013 95 artiklan 2 kohta, 96 artiklan 2 kohta, 97 artikla ja 98 artiklan 1 kohdan a alakohta</w:t>
            </w:r>
          </w:p>
          <w:p w14:paraId="2AEA27C3" w14:textId="77777777" w:rsidR="00CC7D2C" w:rsidRPr="002A677E"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 xml:space="preserve">Tämä kohta koskee ainoastaan asetuksen (EU) N:o 575/2013 95 artiklan 2 kohdan, 96 artiklan 2 kohdan ja 98 artiklan soveltamisalaan kuuluvia sijoituspalveluyrityksiä. Ks. myös asetuksen (EU) N:o 575/2013 97 artikla. </w:t>
            </w:r>
          </w:p>
          <w:p w14:paraId="74042626" w14:textId="77777777" w:rsidR="00CC7D2C" w:rsidRPr="002A677E"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Asetuksen (EU) N:o 575/2013 96 artiklan soveltamisalaan kuuluvien sijoituspalveluyritysten on ilmoitettava 97 artiklassa tarkoitettu määrä kerrottuna kertoimella 12,5.</w:t>
            </w:r>
          </w:p>
          <w:p w14:paraId="5E38767D" w14:textId="77777777" w:rsidR="00CC7D2C" w:rsidRPr="002A677E"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Asetuksen (EU) N:o 575/2013 95 artiklan soveltamisalaan kuuluvien sijoituspalveluyritysten on ilmoitettava tiedot seuraavasti:</w:t>
            </w:r>
          </w:p>
          <w:p w14:paraId="37268ED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Arial" w:hAnsi="Arial"/>
                <w:sz w:val="24"/>
              </w:rPr>
              <w:t>–</w:t>
            </w:r>
            <w:r>
              <w:rPr>
                <w:rStyle w:val="FormatvorlageInstructionsTabelleText"/>
                <w:rFonts w:ascii="Arial" w:hAnsi="Arial"/>
                <w:sz w:val="24"/>
              </w:rPr>
              <w:tab/>
            </w:r>
            <w:r>
              <w:rPr>
                <w:rStyle w:val="FormatvorlageInstructionsTabelleText"/>
                <w:rFonts w:ascii="Times New Roman" w:hAnsi="Times New Roman"/>
                <w:sz w:val="24"/>
              </w:rPr>
              <w:t>Jos asetuksen (EU) N:o 575/2013 95 artiklan 2 kohdan a alakohdassa tarkoitettu määrä on kyseisen asetuksen 95 artiklan 2 kohdan b alakohdassa tarkoitettua määrää suurempi, ilmoitettava määrä on nolla.</w:t>
            </w:r>
          </w:p>
          <w:p w14:paraId="5D42005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Arial" w:hAnsi="Arial"/>
                <w:sz w:val="24"/>
              </w:rPr>
              <w:t>–</w:t>
            </w:r>
            <w:r>
              <w:rPr>
                <w:rStyle w:val="FormatvorlageInstructionsTabelleText"/>
                <w:rFonts w:ascii="Arial" w:hAnsi="Arial"/>
                <w:sz w:val="24"/>
              </w:rPr>
              <w:tab/>
            </w:r>
            <w:r>
              <w:rPr>
                <w:rStyle w:val="FormatvorlageInstructionsTabelleText"/>
                <w:rFonts w:ascii="Times New Roman" w:hAnsi="Times New Roman"/>
                <w:sz w:val="24"/>
              </w:rPr>
              <w:t xml:space="preserve">Jos asetuksen (EU) N:o 575/2013 95 artiklan 2 kohdan b alakohdassa tarkoitettu määrä on kyseisen asetuksen 95 artiklan 2 kohdan a alakohdassa tarkoitettua määrää suurempi, ilmoitettava määrä on tulos, joka saadaan vähentämällä jälkimmäinen määrä edellisestä määrästä. </w:t>
            </w:r>
          </w:p>
        </w:tc>
      </w:tr>
      <w:tr w:rsidR="00CC7D2C" w:rsidRPr="002A677E" w14:paraId="0430F55D" w14:textId="77777777" w:rsidTr="00822842">
        <w:tc>
          <w:tcPr>
            <w:tcW w:w="1591" w:type="dxa"/>
          </w:tcPr>
          <w:p w14:paraId="2F6AC67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0640</w:t>
            </w:r>
          </w:p>
        </w:tc>
        <w:tc>
          <w:tcPr>
            <w:tcW w:w="7274" w:type="dxa"/>
          </w:tcPr>
          <w:p w14:paraId="2E4CBDBD"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rPr>
                <w:rStyle w:val="InstructionsTabelleberschrift"/>
                <w:rFonts w:ascii="Times New Roman" w:hAnsi="Times New Roman"/>
                <w:sz w:val="24"/>
              </w:rPr>
              <w:tab/>
              <w:t>VASTUUN ARVONOIKAISUUN LIITTYVÄN KOKONAISRISKIN MÄÄRÄ</w:t>
            </w:r>
          </w:p>
          <w:p w14:paraId="5117D4D3" w14:textId="785E084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Asetuksen (EU) N:o 575/2013 92 artiklan 4 kohdan d alakohta</w:t>
            </w:r>
          </w:p>
          <w:p w14:paraId="1A4C8257"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Ks. CVA-lomake.</w:t>
            </w:r>
            <w:r>
              <w:rPr>
                <w:rStyle w:val="FormatvorlageInstructionsTabelleText"/>
                <w:rFonts w:ascii="Times New Roman" w:hAnsi="Times New Roman"/>
                <w:sz w:val="24"/>
              </w:rPr>
              <w:t xml:space="preserve"> </w:t>
            </w:r>
          </w:p>
        </w:tc>
      </w:tr>
      <w:tr w:rsidR="00CC7D2C" w:rsidRPr="002A677E" w14:paraId="17A9B967" w14:textId="77777777" w:rsidTr="00822842">
        <w:tc>
          <w:tcPr>
            <w:tcW w:w="1591" w:type="dxa"/>
          </w:tcPr>
          <w:p w14:paraId="68680CB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0655</w:t>
            </w:r>
          </w:p>
        </w:tc>
        <w:tc>
          <w:tcPr>
            <w:tcW w:w="7274" w:type="dxa"/>
          </w:tcPr>
          <w:p w14:paraId="7ABD8041" w14:textId="77777777" w:rsidR="00CC7D2C" w:rsidRPr="00050B55"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1.6.4 Standardimenetelmä (SA)</w:t>
            </w:r>
          </w:p>
          <w:p w14:paraId="52EE3666" w14:textId="77777777" w:rsidR="00CC7D2C" w:rsidRPr="002A677E" w:rsidRDefault="00CC7D2C" w:rsidP="00320EFD">
            <w:pPr>
              <w:pStyle w:val="InstructionsText"/>
              <w:rPr>
                <w:rStyle w:val="InstructionsTabelleberschrift"/>
                <w:rFonts w:ascii="Times New Roman" w:hAnsi="Times New Roman"/>
                <w:sz w:val="24"/>
              </w:rPr>
            </w:pPr>
            <w:r>
              <w:t>Asetuksen (EU) N:o 575/2013 383 artikla</w:t>
            </w:r>
          </w:p>
        </w:tc>
      </w:tr>
      <w:tr w:rsidR="00CC7D2C" w:rsidRPr="002A677E" w14:paraId="77449D06" w14:textId="77777777" w:rsidTr="00822842">
        <w:tc>
          <w:tcPr>
            <w:tcW w:w="1591" w:type="dxa"/>
          </w:tcPr>
          <w:p w14:paraId="06FEDF2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0665</w:t>
            </w:r>
          </w:p>
        </w:tc>
        <w:tc>
          <w:tcPr>
            <w:tcW w:w="7274" w:type="dxa"/>
          </w:tcPr>
          <w:p w14:paraId="7AC41EE1" w14:textId="77777777" w:rsidR="00CC7D2C" w:rsidRPr="00EB66E9"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1.6.5 Täysi perusmenetelmä (F-BA)</w:t>
            </w:r>
          </w:p>
          <w:p w14:paraId="50E188A9" w14:textId="77777777" w:rsidR="00CC7D2C" w:rsidRPr="002A677E" w:rsidRDefault="00CC7D2C" w:rsidP="00320EFD">
            <w:pPr>
              <w:pStyle w:val="InstructionsText"/>
              <w:rPr>
                <w:rStyle w:val="InstructionsTabelleberschrift"/>
                <w:rFonts w:ascii="Times New Roman" w:hAnsi="Times New Roman"/>
                <w:sz w:val="24"/>
              </w:rPr>
            </w:pPr>
            <w:r>
              <w:t>Asetuksen (EU) N:o 575/2013 384 artiklan 3 kohta</w:t>
            </w:r>
            <w:r>
              <w:rPr>
                <w:rStyle w:val="InstructionsTabelleberschrift"/>
              </w:rPr>
              <w:t xml:space="preserve"> </w:t>
            </w:r>
          </w:p>
        </w:tc>
      </w:tr>
      <w:tr w:rsidR="00CC7D2C" w:rsidRPr="002A677E" w14:paraId="0AC19AFE" w14:textId="77777777" w:rsidTr="00822842">
        <w:tc>
          <w:tcPr>
            <w:tcW w:w="1591" w:type="dxa"/>
          </w:tcPr>
          <w:p w14:paraId="1E48E305"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0666</w:t>
            </w:r>
          </w:p>
        </w:tc>
        <w:tc>
          <w:tcPr>
            <w:tcW w:w="7274" w:type="dxa"/>
          </w:tcPr>
          <w:p w14:paraId="6D3A09C2" w14:textId="77777777" w:rsidR="00CC7D2C" w:rsidRPr="00EB66E9"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1.6.6 Suppea perusmenetelmä (R-BA)</w:t>
            </w:r>
          </w:p>
          <w:p w14:paraId="66955A99" w14:textId="77777777" w:rsidR="00CC7D2C" w:rsidRPr="002A677E" w:rsidRDefault="00CC7D2C" w:rsidP="00320EFD">
            <w:pPr>
              <w:pStyle w:val="InstructionsText"/>
              <w:rPr>
                <w:rStyle w:val="InstructionsTabelleberschrift"/>
                <w:rFonts w:ascii="Times New Roman" w:hAnsi="Times New Roman"/>
                <w:sz w:val="24"/>
              </w:rPr>
            </w:pPr>
            <w:r>
              <w:t>Asetuksen (EU) N:o 575/2013 384 artiklan 2 kohta</w:t>
            </w:r>
          </w:p>
        </w:tc>
      </w:tr>
      <w:tr w:rsidR="00CC7D2C" w:rsidRPr="002A677E" w14:paraId="63F89364" w14:textId="77777777" w:rsidTr="00822842">
        <w:tc>
          <w:tcPr>
            <w:tcW w:w="1591" w:type="dxa"/>
          </w:tcPr>
          <w:p w14:paraId="74CBE8F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0675</w:t>
            </w:r>
          </w:p>
        </w:tc>
        <w:tc>
          <w:tcPr>
            <w:tcW w:w="7274" w:type="dxa"/>
          </w:tcPr>
          <w:p w14:paraId="4DB614D1" w14:textId="6061CC7E" w:rsidR="00CC7D2C" w:rsidRPr="005E2F11"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1.6.7 Yksinkertaistettu menetelmä</w:t>
            </w:r>
          </w:p>
          <w:p w14:paraId="5D4966C6" w14:textId="77777777" w:rsidR="00CC7D2C" w:rsidRPr="002A677E" w:rsidRDefault="00CC7D2C" w:rsidP="00320EFD">
            <w:pPr>
              <w:pStyle w:val="InstructionsText"/>
              <w:rPr>
                <w:rStyle w:val="InstructionsTabelleberschrift"/>
                <w:rFonts w:ascii="Times New Roman" w:hAnsi="Times New Roman"/>
                <w:sz w:val="24"/>
              </w:rPr>
            </w:pPr>
            <w:r>
              <w:t>Asetuksen (EU) N:o 575/2013 385 artikla</w:t>
            </w:r>
          </w:p>
        </w:tc>
      </w:tr>
      <w:tr w:rsidR="00CC7D2C" w:rsidRPr="002A677E" w14:paraId="73B500AF" w14:textId="77777777" w:rsidTr="00822842">
        <w:tc>
          <w:tcPr>
            <w:tcW w:w="1591" w:type="dxa"/>
          </w:tcPr>
          <w:p w14:paraId="523B5EE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0676</w:t>
            </w:r>
          </w:p>
        </w:tc>
        <w:tc>
          <w:tcPr>
            <w:tcW w:w="7274" w:type="dxa"/>
          </w:tcPr>
          <w:p w14:paraId="4AB3F219" w14:textId="22EEF5BC" w:rsidR="00CC7D2C" w:rsidRDefault="00CC7D2C" w:rsidP="00320EFD">
            <w:pPr>
              <w:pStyle w:val="InstructionsText"/>
              <w:rPr>
                <w:rStyle w:val="InstructionsTabelleberschrift"/>
              </w:rPr>
            </w:pPr>
            <w:r>
              <w:rPr>
                <w:rStyle w:val="InstructionsTabelleberschrift"/>
                <w:rFonts w:ascii="Times New Roman" w:hAnsi="Times New Roman"/>
                <w:sz w:val="24"/>
              </w:rPr>
              <w:t>1.6.8 Yhteistä sijoitustoimintaa harjoittavien yritysten johdannaispositioiden yksinkertaistettu käsittely</w:t>
            </w:r>
          </w:p>
          <w:p w14:paraId="745B756E" w14:textId="77777777" w:rsidR="00CC7D2C" w:rsidRPr="002A677E" w:rsidRDefault="00CC7D2C" w:rsidP="00320EFD">
            <w:pPr>
              <w:pStyle w:val="InstructionsText"/>
              <w:rPr>
                <w:rStyle w:val="InstructionsTabelleberschrift"/>
                <w:rFonts w:ascii="Times New Roman" w:hAnsi="Times New Roman"/>
                <w:sz w:val="24"/>
              </w:rPr>
            </w:pPr>
            <w:r>
              <w:lastRenderedPageBreak/>
              <w:t>Asetuksen (EU) N:o 575/2013 132 a artiklan 3 kohta, 152 artiklan 3 kohta ja 325 j artiklan 1 kohta</w:t>
            </w:r>
          </w:p>
        </w:tc>
      </w:tr>
      <w:tr w:rsidR="00CC7D2C" w:rsidRPr="002A677E" w14:paraId="3F998FA1" w14:textId="77777777" w:rsidTr="00822842">
        <w:tc>
          <w:tcPr>
            <w:tcW w:w="1591" w:type="dxa"/>
          </w:tcPr>
          <w:p w14:paraId="01E8200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0680</w:t>
            </w:r>
          </w:p>
        </w:tc>
        <w:tc>
          <w:tcPr>
            <w:tcW w:w="7274" w:type="dxa"/>
          </w:tcPr>
          <w:p w14:paraId="41208587" w14:textId="77777777" w:rsidR="00CC7D2C" w:rsidRPr="002A677E" w:rsidRDefault="00CC7D2C" w:rsidP="00320EFD">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rPr>
                <w:rStyle w:val="InstructionsTabelleberschrift"/>
                <w:rFonts w:ascii="Times New Roman" w:hAnsi="Times New Roman"/>
                <w:sz w:val="24"/>
              </w:rPr>
              <w:tab/>
              <w:t>KAUPANKÄYNTIVARASTOON SISÄLTYVIEN SUURTEN ASIAKASRISKIEN KOKONAISRISKIN MÄÄRÄ</w:t>
            </w:r>
          </w:p>
          <w:p w14:paraId="17AF6A9C" w14:textId="4455FFB8" w:rsidR="00CC7D2C" w:rsidRPr="002A677E" w:rsidRDefault="00CC7D2C" w:rsidP="00320EF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Asetuksen (EU) N:o 575/2013 92 artiklan 4 kohdan b alakohdan ii alakohta ja 395–401 artikla</w:t>
            </w:r>
          </w:p>
        </w:tc>
      </w:tr>
      <w:tr w:rsidR="00CC7D2C" w:rsidRPr="002A677E" w14:paraId="7EEB4A32" w14:textId="77777777" w:rsidTr="00822842">
        <w:tc>
          <w:tcPr>
            <w:tcW w:w="1591" w:type="dxa"/>
          </w:tcPr>
          <w:p w14:paraId="0127ECB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274" w:type="dxa"/>
          </w:tcPr>
          <w:p w14:paraId="73B1823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rPr>
                <w:rStyle w:val="InstructionsTabelleberschrift"/>
                <w:rFonts w:ascii="Times New Roman" w:hAnsi="Times New Roman"/>
                <w:sz w:val="24"/>
              </w:rPr>
              <w:tab/>
              <w:t>MUIDEN RISKIEN MÄÄRÄT</w:t>
            </w:r>
          </w:p>
          <w:p w14:paraId="7BDD98B3" w14:textId="77777777" w:rsidR="00CC7D2C" w:rsidRPr="002A677E" w:rsidRDefault="00CC7D2C" w:rsidP="00320EFD">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Tämä kohta liittyy asetuksen (EU) N:o 575/2013 3, 458 ja 459 artiklaan, ja kohdassa ilmoitetaan sellaiset riskien määrät, joita ei voida kirjata mihinkään eristä 1.1–1.7. </w:t>
            </w:r>
          </w:p>
          <w:p w14:paraId="7F38083B" w14:textId="77777777" w:rsidR="00CC7D2C" w:rsidRPr="002A677E" w:rsidRDefault="00CC7D2C" w:rsidP="00320EFD">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Laitosten on ilmoitettava määrät, jotka tarvitaan seuraavien vaatimusten noudattamiseksi:</w:t>
            </w:r>
          </w:p>
          <w:p w14:paraId="23A0AD5B" w14:textId="77777777" w:rsidR="00CC7D2C" w:rsidRPr="002A677E" w:rsidRDefault="00CC7D2C" w:rsidP="00320EFD">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Tiukemmat vakavaraisuusvaatimukset, jotka komissio on asettanut asetuksen (EU) N:o 575/2013 458 ja 459 artiklan mukaisesti. </w:t>
            </w:r>
          </w:p>
          <w:p w14:paraId="66274184" w14:textId="77777777" w:rsidR="00CC7D2C" w:rsidRPr="002A677E" w:rsidRDefault="00CC7D2C" w:rsidP="00320EFD">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Asetuksen (EU) N:o 575/2013 3 artiklasta aiheutuvat ylimääräiset riskit.</w:t>
            </w:r>
          </w:p>
          <w:p w14:paraId="0B094D68" w14:textId="77777777" w:rsidR="00CC7D2C" w:rsidRPr="002A677E" w:rsidRDefault="00CC7D2C" w:rsidP="00320EFD">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Tällä kohdalla ei ole yhteyttä mihinkään yksityiskohtaiseen lomakkeeseen. </w:t>
            </w:r>
          </w:p>
        </w:tc>
      </w:tr>
      <w:tr w:rsidR="00CC7D2C" w:rsidRPr="002A677E" w14:paraId="3DE721B2" w14:textId="77777777" w:rsidTr="00822842">
        <w:tc>
          <w:tcPr>
            <w:tcW w:w="1591" w:type="dxa"/>
          </w:tcPr>
          <w:p w14:paraId="238A61F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274" w:type="dxa"/>
          </w:tcPr>
          <w:p w14:paraId="0EDC251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rPr>
                <w:rStyle w:val="InstructionsTabelleberschrift"/>
                <w:rFonts w:ascii="Times New Roman" w:hAnsi="Times New Roman"/>
                <w:sz w:val="24"/>
              </w:rPr>
              <w:tab/>
              <w:t>Joista: Asetuksen (EU) N:o 575/2013 458 artiklaan perustuvat tiukemmat vakavaraisuusvaatimukset</w:t>
            </w:r>
          </w:p>
          <w:p w14:paraId="2E884C62"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Asetuksen (EU) N:o 575/2013 458 artikla</w:t>
            </w:r>
          </w:p>
        </w:tc>
      </w:tr>
      <w:tr w:rsidR="00CC7D2C" w:rsidRPr="002A677E" w14:paraId="5D504680" w14:textId="77777777" w:rsidTr="00822842">
        <w:tc>
          <w:tcPr>
            <w:tcW w:w="1591" w:type="dxa"/>
          </w:tcPr>
          <w:p w14:paraId="6704783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274" w:type="dxa"/>
          </w:tcPr>
          <w:p w14:paraId="3183B111" w14:textId="77777777" w:rsidR="00CC7D2C" w:rsidRPr="002A677E" w:rsidRDefault="00CC7D2C" w:rsidP="00320EFD">
            <w:pPr>
              <w:pStyle w:val="InstructionsText"/>
            </w:pPr>
            <w:r>
              <w:rPr>
                <w:rStyle w:val="InstructionsTabelleberschrift"/>
                <w:rFonts w:ascii="Times New Roman" w:hAnsi="Times New Roman"/>
                <w:sz w:val="24"/>
              </w:rPr>
              <w:t>1.8.2*</w:t>
            </w:r>
            <w:r>
              <w:rPr>
                <w:rStyle w:val="InstructionsTabelleberschrift"/>
                <w:rFonts w:ascii="Times New Roman" w:hAnsi="Times New Roman"/>
                <w:sz w:val="24"/>
              </w:rPr>
              <w:tab/>
              <w:t>Joista: suuria asiakasriskejä koskevista vaatimuksista aiheutuvat riskit</w:t>
            </w:r>
          </w:p>
          <w:p w14:paraId="242C94AC" w14:textId="77777777" w:rsidR="00CC7D2C" w:rsidRPr="002A677E" w:rsidRDefault="00CC7D2C" w:rsidP="00320EFD">
            <w:pPr>
              <w:pStyle w:val="InstructionsText"/>
              <w:rPr>
                <w:rStyle w:val="InstructionsTabelleberschrift"/>
                <w:rFonts w:ascii="Times New Roman" w:hAnsi="Times New Roman"/>
                <w:sz w:val="24"/>
              </w:rPr>
            </w:pPr>
            <w:r>
              <w:t>Asetuksen (EU) N:o 575/2013 458 artikla</w:t>
            </w:r>
          </w:p>
        </w:tc>
      </w:tr>
      <w:tr w:rsidR="00CC7D2C" w:rsidRPr="002A677E" w14:paraId="5527A68B" w14:textId="77777777" w:rsidTr="00822842">
        <w:tc>
          <w:tcPr>
            <w:tcW w:w="1591" w:type="dxa"/>
          </w:tcPr>
          <w:p w14:paraId="6BAD894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274" w:type="dxa"/>
          </w:tcPr>
          <w:p w14:paraId="7B78F88E" w14:textId="77777777" w:rsidR="00CC7D2C" w:rsidRPr="002A677E" w:rsidRDefault="00CC7D2C" w:rsidP="00320EFD">
            <w:pPr>
              <w:pStyle w:val="InstructionsText"/>
            </w:pPr>
            <w:r>
              <w:rPr>
                <w:rStyle w:val="InstructionsTabelleberschrift"/>
                <w:rFonts w:ascii="Times New Roman" w:hAnsi="Times New Roman"/>
                <w:sz w:val="24"/>
              </w:rPr>
              <w:t>1.8.2**</w:t>
            </w:r>
            <w:r>
              <w:rPr>
                <w:rStyle w:val="InstructionsTabelleberschrift"/>
                <w:rFonts w:ascii="Times New Roman" w:hAnsi="Times New Roman"/>
                <w:sz w:val="24"/>
              </w:rPr>
              <w:tab/>
              <w:t>Joista: asuinkiinteistö- ja liikekiinteistöalalla varallisuushintakupliin kohdennettavista mukautetuista riskipainoista aiheutuvat riskit</w:t>
            </w:r>
          </w:p>
          <w:p w14:paraId="6AE45898" w14:textId="77777777" w:rsidR="00CC7D2C" w:rsidRPr="002A677E" w:rsidRDefault="00CC7D2C" w:rsidP="00320EFD">
            <w:pPr>
              <w:pStyle w:val="InstructionsText"/>
              <w:rPr>
                <w:rStyle w:val="InstructionsTabelleberschrift"/>
                <w:rFonts w:ascii="Times New Roman" w:hAnsi="Times New Roman"/>
                <w:sz w:val="24"/>
              </w:rPr>
            </w:pPr>
            <w:r>
              <w:t>Asetuksen (EU) N:o 575/2013 458 artikla</w:t>
            </w:r>
          </w:p>
        </w:tc>
      </w:tr>
      <w:tr w:rsidR="00CC7D2C" w:rsidRPr="002A677E" w14:paraId="5206CB62" w14:textId="77777777" w:rsidTr="00822842">
        <w:tc>
          <w:tcPr>
            <w:tcW w:w="1591" w:type="dxa"/>
          </w:tcPr>
          <w:p w14:paraId="6D2D0EE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274" w:type="dxa"/>
          </w:tcPr>
          <w:p w14:paraId="74A220D7" w14:textId="77777777" w:rsidR="00CC7D2C" w:rsidRPr="002A677E" w:rsidRDefault="00CC7D2C" w:rsidP="00320EFD">
            <w:pPr>
              <w:pStyle w:val="InstructionsText"/>
            </w:pPr>
            <w:r>
              <w:rPr>
                <w:rStyle w:val="InstructionsTabelleberschrift"/>
                <w:rFonts w:ascii="Times New Roman" w:hAnsi="Times New Roman"/>
                <w:sz w:val="24"/>
              </w:rPr>
              <w:t>1.8.2***</w:t>
            </w:r>
            <w:r>
              <w:rPr>
                <w:rStyle w:val="InstructionsTabelleberschrift"/>
                <w:rFonts w:ascii="Times New Roman" w:hAnsi="Times New Roman"/>
                <w:sz w:val="24"/>
              </w:rPr>
              <w:tab/>
              <w:t>Joista: rahoitusalan sisäisistä vastuista aiheutuvat riskit</w:t>
            </w:r>
          </w:p>
          <w:p w14:paraId="0AD2BF6F" w14:textId="77777777" w:rsidR="00CC7D2C" w:rsidRPr="002A677E" w:rsidRDefault="00CC7D2C" w:rsidP="00320EFD">
            <w:pPr>
              <w:pStyle w:val="InstructionsText"/>
              <w:rPr>
                <w:rStyle w:val="InstructionsTabelleberschrift"/>
                <w:rFonts w:ascii="Times New Roman" w:hAnsi="Times New Roman"/>
                <w:sz w:val="24"/>
              </w:rPr>
            </w:pPr>
            <w:r>
              <w:t>Asetuksen (EU) N:o 575/2013 458 artikla</w:t>
            </w:r>
          </w:p>
        </w:tc>
      </w:tr>
      <w:tr w:rsidR="00CC7D2C" w:rsidRPr="002A677E" w14:paraId="701C4C92" w14:textId="77777777" w:rsidTr="00822842">
        <w:tc>
          <w:tcPr>
            <w:tcW w:w="1591" w:type="dxa"/>
          </w:tcPr>
          <w:p w14:paraId="69B5421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274" w:type="dxa"/>
          </w:tcPr>
          <w:p w14:paraId="69B493B7"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rPr>
                <w:rStyle w:val="InstructionsTabelleberschrift"/>
                <w:rFonts w:ascii="Times New Roman" w:hAnsi="Times New Roman"/>
                <w:sz w:val="24"/>
              </w:rPr>
              <w:tab/>
              <w:t>Joista: Asetuksen (EU) N:o 575/2013 459 artiklaan perustuvat tiukemmat vakavaraisuusvaatimukset</w:t>
            </w:r>
          </w:p>
          <w:p w14:paraId="4F93B1E4"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Asetuksen (EU) N:o 575/2013 459 artikla</w:t>
            </w:r>
          </w:p>
        </w:tc>
      </w:tr>
      <w:tr w:rsidR="005F24EB" w:rsidRPr="002A677E" w14:paraId="12044379" w14:textId="77777777" w:rsidTr="00822842">
        <w:tc>
          <w:tcPr>
            <w:tcW w:w="1591" w:type="dxa"/>
            <w:shd w:val="clear" w:color="auto" w:fill="auto"/>
          </w:tcPr>
          <w:p w14:paraId="43ECB347" w14:textId="6A96CE29" w:rsidR="005F24EB" w:rsidRPr="002A677E" w:rsidRDefault="005F24EB"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0755</w:t>
            </w:r>
          </w:p>
        </w:tc>
        <w:tc>
          <w:tcPr>
            <w:tcW w:w="7274" w:type="dxa"/>
          </w:tcPr>
          <w:p w14:paraId="5D1965B6" w14:textId="77777777" w:rsidR="005F24EB" w:rsidRPr="003D5537" w:rsidRDefault="005F24EB" w:rsidP="00320EFD">
            <w:pPr>
              <w:pStyle w:val="InstructionsText"/>
            </w:pPr>
            <w:r>
              <w:t>1.8.3a       Joista: valvojan direktiivin 2013/36/EU 110 artiklan nojalla määräämät markkinariskiä koskevat ylimääräiset riskipainotetut vastuuerät</w:t>
            </w:r>
          </w:p>
          <w:p w14:paraId="6AA689E0" w14:textId="70B9ABFD" w:rsidR="005F24EB" w:rsidRPr="003D5537" w:rsidRDefault="003D5537" w:rsidP="00320EFD">
            <w:pPr>
              <w:pStyle w:val="InstructionsText"/>
              <w:rPr>
                <w:b/>
                <w:bCs/>
              </w:rPr>
            </w:pPr>
            <w:r>
              <w:t>Direktiivin 2013/36/EU 101 artikla ja kyseisen artiklan kansalliset täytäntöönpanotoimenpiteet.</w:t>
            </w:r>
          </w:p>
        </w:tc>
      </w:tr>
      <w:tr w:rsidR="00CC7D2C" w:rsidRPr="002A677E" w14:paraId="2C35FF15" w14:textId="77777777" w:rsidTr="00822842">
        <w:tc>
          <w:tcPr>
            <w:tcW w:w="1591" w:type="dxa"/>
            <w:shd w:val="clear" w:color="auto" w:fill="auto"/>
          </w:tcPr>
          <w:p w14:paraId="08B2679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0760</w:t>
            </w:r>
          </w:p>
        </w:tc>
        <w:tc>
          <w:tcPr>
            <w:tcW w:w="7274" w:type="dxa"/>
          </w:tcPr>
          <w:p w14:paraId="3F3CCAB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rPr>
                <w:rStyle w:val="InstructionsTabelleberschrift"/>
                <w:rFonts w:ascii="Times New Roman" w:hAnsi="Times New Roman"/>
                <w:sz w:val="24"/>
              </w:rPr>
              <w:tab/>
              <w:t>Joista: asetuksen (EU) N:o 575/2013 3 artiklasta aiheutuvat ylimääräiset riskit</w:t>
            </w:r>
          </w:p>
          <w:p w14:paraId="1A39DDE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3 artikla</w:t>
            </w:r>
          </w:p>
          <w:p w14:paraId="390266FE"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Ilmoitettavaan ylimääräisten riskien määrään on sisällytettävä ainoastaan ylimääräiset määrät (esimerkiksi, jos luvun 100 suuruisella vastuulla on 20 prosentin riskipaino ja jos laitos soveltaa siihen asetuksen (EU) N:o 575/2013 3 artiklan nojalla 50 prosentin riskipainoa, kohdassa ilmoitettava määrä on 30). </w:t>
            </w:r>
          </w:p>
        </w:tc>
      </w:tr>
      <w:tr w:rsidR="003D5537" w:rsidRPr="002A677E" w14:paraId="76EDFBFD" w14:textId="77777777" w:rsidTr="00822842">
        <w:tc>
          <w:tcPr>
            <w:tcW w:w="1591" w:type="dxa"/>
            <w:shd w:val="clear" w:color="auto" w:fill="auto"/>
          </w:tcPr>
          <w:p w14:paraId="7DD83149" w14:textId="43853002" w:rsidR="003D5537" w:rsidRPr="002A677E" w:rsidRDefault="003D5537"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0770</w:t>
            </w:r>
          </w:p>
        </w:tc>
        <w:tc>
          <w:tcPr>
            <w:tcW w:w="7274" w:type="dxa"/>
          </w:tcPr>
          <w:p w14:paraId="18F77916" w14:textId="77777777" w:rsidR="003D5537" w:rsidRDefault="003D5537"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1.8.4*         </w:t>
            </w:r>
            <w:proofErr w:type="gramStart"/>
            <w:r>
              <w:rPr>
                <w:rStyle w:val="InstructionsTabelleberschrift"/>
                <w:rFonts w:ascii="Times New Roman" w:hAnsi="Times New Roman"/>
                <w:sz w:val="24"/>
              </w:rPr>
              <w:t>Joista:  markkinariskiä</w:t>
            </w:r>
            <w:proofErr w:type="gramEnd"/>
            <w:r>
              <w:rPr>
                <w:rStyle w:val="InstructionsTabelleberschrift"/>
                <w:rFonts w:ascii="Times New Roman" w:hAnsi="Times New Roman"/>
                <w:sz w:val="24"/>
              </w:rPr>
              <w:t xml:space="preserve"> koskevat ylimääräiset riskipainotetut vastuuerät</w:t>
            </w:r>
          </w:p>
          <w:p w14:paraId="69E7A691" w14:textId="31285B3F" w:rsidR="003D5537" w:rsidRPr="002A677E" w:rsidRDefault="003D5537" w:rsidP="00320EFD">
            <w:pPr>
              <w:pStyle w:val="InstructionsText"/>
              <w:rPr>
                <w:rStyle w:val="InstructionsTabelleberschrift"/>
                <w:rFonts w:ascii="Times New Roman" w:hAnsi="Times New Roman"/>
                <w:sz w:val="24"/>
              </w:rPr>
            </w:pPr>
            <w:r>
              <w:t>Mukaan lukien myös riskit, jotka puuttuvat mittaamiseen käytetystä laskentamallista (</w:t>
            </w:r>
            <w:proofErr w:type="spellStart"/>
            <w:r>
              <w:rPr>
                <w:i/>
                <w:iCs/>
              </w:rPr>
              <w:t>risks</w:t>
            </w:r>
            <w:proofErr w:type="spellEnd"/>
            <w:r>
              <w:rPr>
                <w:i/>
                <w:iCs/>
              </w:rPr>
              <w:t xml:space="preserve"> </w:t>
            </w:r>
            <w:proofErr w:type="spellStart"/>
            <w:r>
              <w:rPr>
                <w:i/>
                <w:iCs/>
              </w:rPr>
              <w:t>not</w:t>
            </w:r>
            <w:proofErr w:type="spellEnd"/>
            <w:r>
              <w:rPr>
                <w:i/>
                <w:iCs/>
              </w:rPr>
              <w:t xml:space="preserve"> in </w:t>
            </w:r>
            <w:proofErr w:type="spellStart"/>
            <w:r>
              <w:rPr>
                <w:i/>
                <w:iCs/>
              </w:rPr>
              <w:t>the</w:t>
            </w:r>
            <w:proofErr w:type="spellEnd"/>
            <w:r>
              <w:rPr>
                <w:i/>
                <w:iCs/>
              </w:rPr>
              <w:t xml:space="preserve"> </w:t>
            </w:r>
            <w:proofErr w:type="spellStart"/>
            <w:r>
              <w:rPr>
                <w:i/>
                <w:iCs/>
              </w:rPr>
              <w:t>model</w:t>
            </w:r>
            <w:proofErr w:type="spellEnd"/>
            <w:r>
              <w:rPr>
                <w:i/>
                <w:iCs/>
              </w:rPr>
              <w:t xml:space="preserve"> </w:t>
            </w:r>
            <w:proofErr w:type="spellStart"/>
            <w:r>
              <w:rPr>
                <w:i/>
                <w:iCs/>
              </w:rPr>
              <w:t>engine</w:t>
            </w:r>
            <w:proofErr w:type="spellEnd"/>
            <w:r>
              <w:t>).</w:t>
            </w:r>
          </w:p>
        </w:tc>
      </w:tr>
      <w:tr w:rsidR="003D5537" w:rsidRPr="002A677E" w14:paraId="609F339A" w14:textId="77777777" w:rsidTr="00822842">
        <w:tc>
          <w:tcPr>
            <w:tcW w:w="1591" w:type="dxa"/>
            <w:shd w:val="clear" w:color="auto" w:fill="auto"/>
          </w:tcPr>
          <w:p w14:paraId="7B448982" w14:textId="7643E064" w:rsidR="003D5537" w:rsidRPr="002A677E" w:rsidRDefault="003D5537"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0780</w:t>
            </w:r>
          </w:p>
        </w:tc>
        <w:tc>
          <w:tcPr>
            <w:tcW w:w="7274" w:type="dxa"/>
          </w:tcPr>
          <w:p w14:paraId="29D87F27" w14:textId="77777777" w:rsidR="003D5537" w:rsidRDefault="003D5537"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1.8.5     Joista: asetuksen (EU) N:o 575/2013 501 d artiklan 2 kohdasta aiheutuva </w:t>
            </w:r>
            <w:proofErr w:type="spellStart"/>
            <w:r>
              <w:rPr>
                <w:rStyle w:val="InstructionsTabelleberschrift"/>
                <w:rFonts w:ascii="Times New Roman" w:hAnsi="Times New Roman"/>
                <w:sz w:val="24"/>
              </w:rPr>
              <w:t>kryptovaroihin</w:t>
            </w:r>
            <w:proofErr w:type="spellEnd"/>
            <w:r>
              <w:rPr>
                <w:rStyle w:val="InstructionsTabelleberschrift"/>
                <w:rFonts w:ascii="Times New Roman" w:hAnsi="Times New Roman"/>
                <w:sz w:val="24"/>
              </w:rPr>
              <w:t xml:space="preserve"> liittyvä siirtymäriskin määrä</w:t>
            </w:r>
          </w:p>
          <w:p w14:paraId="0F5C3D0F" w14:textId="23BC2EEB" w:rsidR="003D5537" w:rsidRPr="003D5537" w:rsidRDefault="003D5537" w:rsidP="00320EFD">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Ks. CRYPTO-lomake.</w:t>
            </w:r>
          </w:p>
        </w:tc>
      </w:tr>
    </w:tbl>
    <w:p w14:paraId="2E87962E" w14:textId="77777777" w:rsidR="00CC7D2C" w:rsidRPr="002A677E" w:rsidRDefault="00CC7D2C" w:rsidP="00D1404A">
      <w:pPr>
        <w:pStyle w:val="Instructionsberschrift2"/>
        <w:numPr>
          <w:ilvl w:val="0"/>
          <w:numId w:val="0"/>
        </w:numPr>
      </w:pPr>
      <w:bookmarkStart w:id="28" w:name="_Toc473560877"/>
      <w:bookmarkStart w:id="29" w:name="_Toc151714365"/>
      <w:bookmarkStart w:id="30" w:name="_Toc308175826"/>
      <w:bookmarkStart w:id="31" w:name="_Toc360188329"/>
      <w:r>
        <w:t>1,4</w:t>
      </w:r>
      <w:r>
        <w:tab/>
        <w:t>C 03.00 – VAKAVARAISUUSSUHTEET JA VAKAVARAISUUSTASOT (CA3)</w:t>
      </w:r>
      <w:bookmarkEnd w:id="28"/>
      <w:bookmarkEnd w:id="29"/>
      <w:r>
        <w:t xml:space="preserve"> </w:t>
      </w:r>
      <w:bookmarkEnd w:id="30"/>
      <w:bookmarkEnd w:id="31"/>
    </w:p>
    <w:p w14:paraId="22993C7A" w14:textId="77777777" w:rsidR="00CC7D2C" w:rsidRPr="002A677E" w:rsidRDefault="00CC7D2C" w:rsidP="00D1404A">
      <w:pPr>
        <w:pStyle w:val="Instructionsberschrift2"/>
        <w:numPr>
          <w:ilvl w:val="0"/>
          <w:numId w:val="0"/>
        </w:numPr>
      </w:pPr>
      <w:bookmarkStart w:id="32" w:name="_Toc308175827"/>
      <w:bookmarkStart w:id="33" w:name="_Toc310414972"/>
      <w:bookmarkStart w:id="34" w:name="_Toc360188330"/>
      <w:bookmarkStart w:id="35" w:name="_Toc473560878"/>
      <w:bookmarkStart w:id="36" w:name="_Toc151714366"/>
      <w:r>
        <w:rPr>
          <w:u w:val="none"/>
        </w:rPr>
        <w:t>1.4.1.</w:t>
      </w:r>
      <w:r>
        <w:rPr>
          <w:u w:val="none"/>
        </w:rPr>
        <w:tab/>
      </w:r>
      <w:r>
        <w:t>Positiokohtaiset ohjeet</w:t>
      </w:r>
      <w:bookmarkEnd w:id="32"/>
      <w:bookmarkEnd w:id="33"/>
      <w:bookmarkEnd w:id="34"/>
      <w:bookmarkEnd w:id="35"/>
      <w:bookmarkEnd w:id="36"/>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CC7D2C" w:rsidRPr="002A677E" w14:paraId="21C5C6B1" w14:textId="77777777" w:rsidTr="00822842">
        <w:tc>
          <w:tcPr>
            <w:tcW w:w="8783" w:type="dxa"/>
            <w:gridSpan w:val="2"/>
            <w:shd w:val="clear" w:color="auto" w:fill="D9D9D9"/>
          </w:tcPr>
          <w:p w14:paraId="6BB1DF05" w14:textId="77777777" w:rsidR="00CC7D2C" w:rsidRPr="002A677E" w:rsidRDefault="00CC7D2C" w:rsidP="00320EFD">
            <w:pPr>
              <w:pStyle w:val="InstructionsText"/>
            </w:pPr>
            <w:r>
              <w:t>Rivit</w:t>
            </w:r>
          </w:p>
        </w:tc>
      </w:tr>
      <w:tr w:rsidR="00CC7D2C" w:rsidRPr="002A677E" w14:paraId="0AA1FB0D" w14:textId="77777777" w:rsidTr="00822842">
        <w:tc>
          <w:tcPr>
            <w:tcW w:w="1163" w:type="dxa"/>
          </w:tcPr>
          <w:p w14:paraId="3B644227" w14:textId="77777777" w:rsidR="00CC7D2C" w:rsidRPr="002A677E" w:rsidRDefault="00CC7D2C" w:rsidP="00320EFD">
            <w:pPr>
              <w:pStyle w:val="InstructionsText"/>
            </w:pPr>
            <w:r>
              <w:t>0010</w:t>
            </w:r>
          </w:p>
        </w:tc>
        <w:tc>
          <w:tcPr>
            <w:tcW w:w="7620" w:type="dxa"/>
          </w:tcPr>
          <w:p w14:paraId="104AA172" w14:textId="77777777" w:rsidR="00CC7D2C" w:rsidRPr="002A677E" w:rsidRDefault="00CC7D2C" w:rsidP="00320EFD">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Ydinvakavaraisuussuhde (CET1)</w:t>
            </w:r>
          </w:p>
          <w:p w14:paraId="1A204CA3" w14:textId="77777777" w:rsidR="00CC7D2C" w:rsidRPr="002A677E" w:rsidRDefault="00CC7D2C" w:rsidP="00320EFD">
            <w:pPr>
              <w:pStyle w:val="InstructionsText"/>
            </w:pPr>
            <w:r>
              <w:t>Asetuksen (EU) N:o 575/2013 92 artiklan 2 kohdan a alakohta</w:t>
            </w:r>
          </w:p>
          <w:p w14:paraId="6428C1DC" w14:textId="77777777" w:rsidR="00CC7D2C" w:rsidRPr="002A677E" w:rsidRDefault="00CC7D2C" w:rsidP="00320EFD">
            <w:pPr>
              <w:pStyle w:val="InstructionsText"/>
            </w:pPr>
            <w:r>
              <w:t>Ydinvakavaraisuussuhde (CET1) suhde on laitoksen ydinpääoma (CET1) ilmaistuna prosenttiosuutena kokonaisriskin määrästä.</w:t>
            </w:r>
          </w:p>
        </w:tc>
      </w:tr>
      <w:tr w:rsidR="00CC7D2C" w:rsidRPr="002A677E" w14:paraId="3682C06B" w14:textId="77777777" w:rsidTr="00822842">
        <w:tc>
          <w:tcPr>
            <w:tcW w:w="1163" w:type="dxa"/>
          </w:tcPr>
          <w:p w14:paraId="0328EB4E" w14:textId="77777777" w:rsidR="00CC7D2C" w:rsidRPr="002A677E" w:rsidRDefault="00CC7D2C" w:rsidP="00320EFD">
            <w:pPr>
              <w:pStyle w:val="InstructionsText"/>
            </w:pPr>
            <w:r>
              <w:t>0020</w:t>
            </w:r>
          </w:p>
        </w:tc>
        <w:tc>
          <w:tcPr>
            <w:tcW w:w="7620" w:type="dxa"/>
          </w:tcPr>
          <w:p w14:paraId="53D7D10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rPr>
                <w:rStyle w:val="InstructionsTabelleberschrift"/>
                <w:rFonts w:ascii="Times New Roman" w:hAnsi="Times New Roman"/>
                <w:sz w:val="24"/>
              </w:rPr>
              <w:tab/>
              <w:t>Ydinpääoman (CET1) ylijäämä(</w:t>
            </w:r>
            <w:proofErr w:type="gramStart"/>
            <w:r>
              <w:rPr>
                <w:rStyle w:val="InstructionsTabelleberschrift"/>
                <w:rFonts w:ascii="Times New Roman" w:hAnsi="Times New Roman"/>
                <w:sz w:val="24"/>
              </w:rPr>
              <w:t>+)/</w:t>
            </w:r>
            <w:proofErr w:type="gramEnd"/>
            <w:r>
              <w:rPr>
                <w:rStyle w:val="InstructionsTabelleberschrift"/>
                <w:rFonts w:ascii="Times New Roman" w:hAnsi="Times New Roman"/>
                <w:sz w:val="24"/>
              </w:rPr>
              <w:t>alijäämä(–)</w:t>
            </w:r>
          </w:p>
          <w:p w14:paraId="197B9EAB" w14:textId="77777777" w:rsidR="00CC7D2C" w:rsidRPr="002A677E" w:rsidRDefault="00CC7D2C" w:rsidP="00320EFD">
            <w:pPr>
              <w:pStyle w:val="InstructionsText"/>
            </w:pPr>
            <w:r>
              <w:t>Tässä kohdassa esitetään absoluuttisina lukuina asetuksen (EU) N:o 575/2013 92 artiklan 1 kohdan a alakohdassa asetettuun vaatimukseen (4,5 %) liittyvä ydinpääoman (CET1) ylijäämän tai alijäämän määrä eli määrä, jossa ei oteta huomioon pääomapuskureiden eikä siirtymäsäännösten vaikutusta pääomasuhteeseen.</w:t>
            </w:r>
          </w:p>
        </w:tc>
      </w:tr>
      <w:tr w:rsidR="00CC7D2C" w:rsidRPr="002A677E" w14:paraId="1005EC23" w14:textId="77777777" w:rsidTr="00822842">
        <w:tc>
          <w:tcPr>
            <w:tcW w:w="1163" w:type="dxa"/>
          </w:tcPr>
          <w:p w14:paraId="511C887C" w14:textId="77777777" w:rsidR="00CC7D2C" w:rsidRPr="002A677E" w:rsidRDefault="00CC7D2C" w:rsidP="00320EFD">
            <w:pPr>
              <w:pStyle w:val="InstructionsText"/>
            </w:pPr>
            <w:r>
              <w:t>0030</w:t>
            </w:r>
          </w:p>
        </w:tc>
        <w:tc>
          <w:tcPr>
            <w:tcW w:w="7620" w:type="dxa"/>
          </w:tcPr>
          <w:p w14:paraId="4EACDF0D" w14:textId="77777777" w:rsidR="00CC7D2C" w:rsidRPr="002A677E" w:rsidRDefault="00CC7D2C" w:rsidP="00320EFD">
            <w:pPr>
              <w:pStyle w:val="InstructionsText"/>
            </w:pPr>
            <w:r>
              <w:rPr>
                <w:rStyle w:val="InstructionsTabelleberschrift"/>
                <w:rFonts w:ascii="Times New Roman" w:hAnsi="Times New Roman"/>
                <w:sz w:val="24"/>
              </w:rPr>
              <w:t>3</w:t>
            </w:r>
            <w:r>
              <w:rPr>
                <w:rStyle w:val="InstructionsTabelleberschrift"/>
                <w:rFonts w:ascii="Times New Roman" w:hAnsi="Times New Roman"/>
                <w:sz w:val="24"/>
              </w:rPr>
              <w:tab/>
              <w:t>Vakavaraisuussuhde ensisijaisella pääomalla (T1)</w:t>
            </w:r>
          </w:p>
          <w:p w14:paraId="58F5E60A" w14:textId="77777777" w:rsidR="00CC7D2C" w:rsidRPr="002A677E" w:rsidRDefault="00CC7D2C" w:rsidP="00320EFD">
            <w:pPr>
              <w:pStyle w:val="InstructionsText"/>
            </w:pPr>
            <w:r>
              <w:t>Asetuksen (EU) N:o 575/2013 92 artiklan 2 kohdan b alakohta</w:t>
            </w:r>
          </w:p>
          <w:p w14:paraId="6C86F22F" w14:textId="77777777" w:rsidR="00CC7D2C" w:rsidRPr="002A677E" w:rsidRDefault="00CC7D2C" w:rsidP="00320EFD">
            <w:pPr>
              <w:pStyle w:val="InstructionsText"/>
            </w:pPr>
            <w:r>
              <w:t>Vakavaraisuussuhde ensisijaisella pääomalla (T1) on laitoksen ensisijainen pääoma (T1) ilmaistuna prosenttiosuutena kokonaisriskin määrästä.</w:t>
            </w:r>
          </w:p>
        </w:tc>
      </w:tr>
      <w:tr w:rsidR="00CC7D2C" w:rsidRPr="002A677E" w14:paraId="69E6CBD9" w14:textId="77777777" w:rsidTr="00822842">
        <w:tc>
          <w:tcPr>
            <w:tcW w:w="1163" w:type="dxa"/>
          </w:tcPr>
          <w:p w14:paraId="4E40C651" w14:textId="77777777" w:rsidR="00CC7D2C" w:rsidRPr="002A677E" w:rsidRDefault="00CC7D2C" w:rsidP="00320EFD">
            <w:pPr>
              <w:pStyle w:val="InstructionsText"/>
            </w:pPr>
            <w:r>
              <w:t>0040</w:t>
            </w:r>
          </w:p>
        </w:tc>
        <w:tc>
          <w:tcPr>
            <w:tcW w:w="7620" w:type="dxa"/>
          </w:tcPr>
          <w:p w14:paraId="2604F5D5" w14:textId="77777777" w:rsidR="00CC7D2C" w:rsidRPr="002A677E" w:rsidRDefault="00CC7D2C" w:rsidP="00320EFD">
            <w:pPr>
              <w:pStyle w:val="InstructionsText"/>
            </w:pPr>
            <w:r>
              <w:rPr>
                <w:rStyle w:val="InstructionsTabelleberschrift"/>
                <w:rFonts w:ascii="Times New Roman" w:hAnsi="Times New Roman"/>
                <w:sz w:val="24"/>
              </w:rPr>
              <w:t>4</w:t>
            </w:r>
            <w:r>
              <w:rPr>
                <w:rStyle w:val="InstructionsTabelleberschrift"/>
                <w:rFonts w:ascii="Times New Roman" w:hAnsi="Times New Roman"/>
                <w:sz w:val="24"/>
              </w:rPr>
              <w:tab/>
              <w:t>Ensisijaisen pääoman (T1) ylijäämä(</w:t>
            </w:r>
            <w:proofErr w:type="gramStart"/>
            <w:r>
              <w:rPr>
                <w:rStyle w:val="InstructionsTabelleberschrift"/>
                <w:rFonts w:ascii="Times New Roman" w:hAnsi="Times New Roman"/>
                <w:sz w:val="24"/>
              </w:rPr>
              <w:t>+)/</w:t>
            </w:r>
            <w:proofErr w:type="gramEnd"/>
            <w:r>
              <w:rPr>
                <w:rStyle w:val="InstructionsTabelleberschrift"/>
                <w:rFonts w:ascii="Times New Roman" w:hAnsi="Times New Roman"/>
                <w:sz w:val="24"/>
              </w:rPr>
              <w:t>alijäämä(–)</w:t>
            </w:r>
          </w:p>
          <w:p w14:paraId="2757AF24" w14:textId="77777777" w:rsidR="00CC7D2C" w:rsidRPr="002A677E" w:rsidRDefault="00CC7D2C" w:rsidP="00320EFD">
            <w:pPr>
              <w:pStyle w:val="InstructionsText"/>
            </w:pPr>
            <w:r>
              <w:t>Tässä kohdassa esitetään absoluuttisina lukuina asetuksen (EU) N:o 575/2013 92 artiklan 1 kohdan b alakohdassa asetettuun vaatimukseen (6 %) liittyvä ensisijaisen pääoman (T1) ylijäämän tai alijäämän määrä eli määrä, jossa ei oteta huomioon pääomapuskureiden eikä siirtymäsäännösten vaikutusta pääomasuhteeseen.</w:t>
            </w:r>
          </w:p>
        </w:tc>
      </w:tr>
      <w:tr w:rsidR="00CC7D2C" w:rsidRPr="002A677E" w14:paraId="5A93B424" w14:textId="77777777" w:rsidTr="00822842">
        <w:tc>
          <w:tcPr>
            <w:tcW w:w="1163" w:type="dxa"/>
          </w:tcPr>
          <w:p w14:paraId="56272084" w14:textId="77777777" w:rsidR="00CC7D2C" w:rsidRPr="002A677E" w:rsidRDefault="00CC7D2C" w:rsidP="00320EFD">
            <w:pPr>
              <w:pStyle w:val="InstructionsText"/>
            </w:pPr>
            <w:r>
              <w:lastRenderedPageBreak/>
              <w:t>0050</w:t>
            </w:r>
          </w:p>
        </w:tc>
        <w:tc>
          <w:tcPr>
            <w:tcW w:w="7620" w:type="dxa"/>
          </w:tcPr>
          <w:p w14:paraId="36175C3E" w14:textId="77777777" w:rsidR="00CC7D2C" w:rsidRPr="002A677E" w:rsidRDefault="00CC7D2C" w:rsidP="00320EFD">
            <w:pPr>
              <w:pStyle w:val="InstructionsText"/>
            </w:pPr>
            <w:r>
              <w:rPr>
                <w:rStyle w:val="InstructionsTabelleberschrift"/>
                <w:rFonts w:ascii="Times New Roman" w:hAnsi="Times New Roman"/>
                <w:sz w:val="24"/>
              </w:rPr>
              <w:t>5</w:t>
            </w:r>
            <w:r>
              <w:rPr>
                <w:rStyle w:val="InstructionsTabelleberschrift"/>
                <w:rFonts w:ascii="Times New Roman" w:hAnsi="Times New Roman"/>
                <w:sz w:val="24"/>
              </w:rPr>
              <w:tab/>
              <w:t>Kokonaisvakavaraisuussuhde</w:t>
            </w:r>
          </w:p>
          <w:p w14:paraId="393A8CC4" w14:textId="77777777" w:rsidR="00CC7D2C" w:rsidRPr="002A677E" w:rsidRDefault="00CC7D2C" w:rsidP="00320EFD">
            <w:pPr>
              <w:pStyle w:val="InstructionsText"/>
            </w:pPr>
            <w:r>
              <w:t>Asetuksen (EU) N:o 575/2013 92 artiklan 2 kohdan c alakohta.</w:t>
            </w:r>
          </w:p>
          <w:p w14:paraId="163717AB" w14:textId="77777777" w:rsidR="00CC7D2C" w:rsidRPr="002A677E" w:rsidRDefault="00CC7D2C" w:rsidP="00320EFD">
            <w:pPr>
              <w:pStyle w:val="InstructionsText"/>
            </w:pPr>
            <w:r>
              <w:t>Kokonaisvakavaraisuussuhde on laitoksen omat varat ilmaistuna prosenttiosuutena kokonaisriskin määrästä.</w:t>
            </w:r>
          </w:p>
        </w:tc>
      </w:tr>
      <w:tr w:rsidR="00CC7D2C" w:rsidRPr="002A677E" w14:paraId="604689C8" w14:textId="77777777" w:rsidTr="00822842">
        <w:tc>
          <w:tcPr>
            <w:tcW w:w="1163" w:type="dxa"/>
          </w:tcPr>
          <w:p w14:paraId="6F72ABAE" w14:textId="77777777" w:rsidR="00CC7D2C" w:rsidRPr="002A677E" w:rsidRDefault="00CC7D2C" w:rsidP="00320EFD">
            <w:pPr>
              <w:pStyle w:val="InstructionsText"/>
            </w:pPr>
            <w:r>
              <w:t>0060</w:t>
            </w:r>
          </w:p>
        </w:tc>
        <w:tc>
          <w:tcPr>
            <w:tcW w:w="7620" w:type="dxa"/>
          </w:tcPr>
          <w:p w14:paraId="1D3133EA" w14:textId="77777777" w:rsidR="00CC7D2C" w:rsidRPr="002A677E" w:rsidRDefault="00CC7D2C" w:rsidP="00320EFD">
            <w:pPr>
              <w:pStyle w:val="InstructionsText"/>
            </w:pPr>
            <w:r>
              <w:rPr>
                <w:rStyle w:val="InstructionsTabelleberschrift"/>
                <w:rFonts w:ascii="Times New Roman" w:hAnsi="Times New Roman"/>
                <w:sz w:val="24"/>
              </w:rPr>
              <w:t>6</w:t>
            </w:r>
            <w:r>
              <w:rPr>
                <w:rStyle w:val="InstructionsTabelleberschrift"/>
                <w:rFonts w:ascii="Times New Roman" w:hAnsi="Times New Roman"/>
                <w:sz w:val="24"/>
              </w:rPr>
              <w:tab/>
              <w:t>Kokonaispääoman ylijäämä(</w:t>
            </w:r>
            <w:proofErr w:type="gramStart"/>
            <w:r>
              <w:rPr>
                <w:rStyle w:val="InstructionsTabelleberschrift"/>
                <w:rFonts w:ascii="Times New Roman" w:hAnsi="Times New Roman"/>
                <w:sz w:val="24"/>
              </w:rPr>
              <w:t>+)/</w:t>
            </w:r>
            <w:proofErr w:type="gramEnd"/>
            <w:r>
              <w:rPr>
                <w:rStyle w:val="InstructionsTabelleberschrift"/>
                <w:rFonts w:ascii="Times New Roman" w:hAnsi="Times New Roman"/>
                <w:sz w:val="24"/>
              </w:rPr>
              <w:t>alijäämä(–)</w:t>
            </w:r>
          </w:p>
          <w:p w14:paraId="03A15BAC" w14:textId="77777777" w:rsidR="00CC7D2C" w:rsidRPr="002A677E" w:rsidRDefault="00CC7D2C" w:rsidP="00320EFD">
            <w:pPr>
              <w:pStyle w:val="InstructionsText"/>
            </w:pPr>
            <w:r>
              <w:t>Tässä kohdassa esitetään absoluuttisina lukuina asetuksen (EU) N:o 575/2013 92 artiklan 1 kohdan c alakohdassa asetettuun vaatimukseen (8 %) liittyvä omien varojen ylijäämän tai alijäämän määrä eli määrä, jossa ei oteta huomioon pääomapuskureiden eikä siirtymäsäännösten vaikutusta pääomasuhteeseen.</w:t>
            </w:r>
          </w:p>
        </w:tc>
      </w:tr>
      <w:tr w:rsidR="00CC7D2C" w:rsidRPr="002A677E" w14:paraId="0DAE5A99" w14:textId="77777777" w:rsidTr="00822842">
        <w:tc>
          <w:tcPr>
            <w:tcW w:w="1163" w:type="dxa"/>
          </w:tcPr>
          <w:p w14:paraId="0D20B59F" w14:textId="77777777" w:rsidR="00CC7D2C" w:rsidRPr="002A677E" w:rsidRDefault="00CC7D2C" w:rsidP="00320EFD">
            <w:pPr>
              <w:pStyle w:val="InstructionsText"/>
            </w:pPr>
            <w:r>
              <w:t>0070</w:t>
            </w:r>
          </w:p>
        </w:tc>
        <w:tc>
          <w:tcPr>
            <w:tcW w:w="7620" w:type="dxa"/>
          </w:tcPr>
          <w:p w14:paraId="3AE440D2"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7          Ydinvakavaraisuussuhde (CET1), kun otetaan huomioon lattiaton TREA</w:t>
            </w:r>
          </w:p>
          <w:p w14:paraId="61978AA2" w14:textId="77777777" w:rsidR="00CC7D2C" w:rsidRPr="002A677E" w:rsidRDefault="00CC7D2C" w:rsidP="00320EFD">
            <w:pPr>
              <w:pStyle w:val="InstructionsText"/>
              <w:rPr>
                <w:rStyle w:val="InstructionsTabelleberschrift"/>
                <w:rFonts w:ascii="Times New Roman" w:hAnsi="Times New Roman"/>
                <w:sz w:val="24"/>
              </w:rPr>
            </w:pPr>
            <w:r>
              <w:t>Asetuksen (EU) N:o 575/2013 92 artiklan 2 kohdan a alakohdassa määritelty ydinpääoman (CET1) osuus ilmaistuna prosenttiosuutena kokonaisriskin määrästä, joka lasketaan asetuksen (EU) N:o 575/2013 92 artiklan 4 kohdan mukaisesti.</w:t>
            </w:r>
          </w:p>
        </w:tc>
      </w:tr>
      <w:tr w:rsidR="00CC7D2C" w:rsidRPr="002A677E" w14:paraId="717A56E9" w14:textId="77777777" w:rsidTr="00822842">
        <w:tc>
          <w:tcPr>
            <w:tcW w:w="1163" w:type="dxa"/>
          </w:tcPr>
          <w:p w14:paraId="74D648B7" w14:textId="77777777" w:rsidR="00CC7D2C" w:rsidRPr="002A677E" w:rsidRDefault="00CC7D2C" w:rsidP="00320EFD">
            <w:pPr>
              <w:pStyle w:val="InstructionsText"/>
            </w:pPr>
            <w:r>
              <w:t>0080</w:t>
            </w:r>
          </w:p>
        </w:tc>
        <w:tc>
          <w:tcPr>
            <w:tcW w:w="7620" w:type="dxa"/>
          </w:tcPr>
          <w:p w14:paraId="5BB089F7"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8          Vakavaraisuussuhde ensisijaisella pääomalla (T1), kun otetaan huomioon lattiaton TREA</w:t>
            </w:r>
          </w:p>
          <w:p w14:paraId="1EA9C1BE" w14:textId="1AA1CC61" w:rsidR="00CC7D2C" w:rsidRPr="002A677E" w:rsidRDefault="00CC7D2C" w:rsidP="00320EFD">
            <w:pPr>
              <w:pStyle w:val="InstructionsText"/>
              <w:rPr>
                <w:rStyle w:val="InstructionsTabelleberschrift"/>
                <w:rFonts w:ascii="Times New Roman" w:hAnsi="Times New Roman"/>
                <w:sz w:val="24"/>
              </w:rPr>
            </w:pPr>
            <w:r>
              <w:t>Asetuksen (EU) N:o 575/2013 92 artiklan 2 kohdan b alakohdassa määritelty ensisijaisen pääoman (T1) osuus ilmaistuna prosenttiosuutena kokonaisriskin määrästä, joka lasketaan asetuksen (EU) N:o 575/2013 92 artiklan 4 kohdan mukaisesti.</w:t>
            </w:r>
          </w:p>
        </w:tc>
      </w:tr>
      <w:tr w:rsidR="00CC7D2C" w:rsidRPr="002A677E" w14:paraId="797CB102" w14:textId="77777777" w:rsidTr="00822842">
        <w:tc>
          <w:tcPr>
            <w:tcW w:w="1163" w:type="dxa"/>
          </w:tcPr>
          <w:p w14:paraId="7D650E05" w14:textId="77777777" w:rsidR="00CC7D2C" w:rsidRPr="002A677E" w:rsidRDefault="00CC7D2C" w:rsidP="00320EFD">
            <w:pPr>
              <w:pStyle w:val="InstructionsText"/>
            </w:pPr>
            <w:r>
              <w:t>0090</w:t>
            </w:r>
          </w:p>
        </w:tc>
        <w:tc>
          <w:tcPr>
            <w:tcW w:w="7620" w:type="dxa"/>
          </w:tcPr>
          <w:p w14:paraId="28D7CCE1"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9          Kokonaispääomaosuus, kun otetaan huomioon lattiaton TREA</w:t>
            </w:r>
          </w:p>
          <w:p w14:paraId="79DB9F56" w14:textId="77777777" w:rsidR="00CC7D2C" w:rsidRPr="002A677E" w:rsidRDefault="00CC7D2C" w:rsidP="00320EFD">
            <w:pPr>
              <w:pStyle w:val="InstructionsText"/>
              <w:rPr>
                <w:rStyle w:val="InstructionsTabelleberschrift"/>
                <w:rFonts w:ascii="Times New Roman" w:hAnsi="Times New Roman"/>
                <w:sz w:val="24"/>
              </w:rPr>
            </w:pPr>
            <w:r>
              <w:t>Asetuksen (EU) N:o 575/2013 92 artiklan 2 kohdan c alakohdassa määritelty kokonaispääomaosuus ilmaistuna prosenttiosuutena kokonaisriskin määrästä, joka lasketaan asetuksen (EU) N:o 575/2013 92 artiklan 4 kohdan mukaisesti.</w:t>
            </w:r>
          </w:p>
        </w:tc>
      </w:tr>
      <w:tr w:rsidR="00CC7D2C" w:rsidRPr="002A677E" w14:paraId="73FC1E78" w14:textId="77777777" w:rsidTr="00822842">
        <w:tc>
          <w:tcPr>
            <w:tcW w:w="1163" w:type="dxa"/>
          </w:tcPr>
          <w:p w14:paraId="3F9F82DA" w14:textId="77777777" w:rsidR="00CC7D2C" w:rsidRPr="002A677E" w:rsidRDefault="00CC7D2C" w:rsidP="00320EFD">
            <w:pPr>
              <w:pStyle w:val="InstructionsText"/>
            </w:pPr>
            <w:r>
              <w:t>0130</w:t>
            </w:r>
          </w:p>
        </w:tc>
        <w:tc>
          <w:tcPr>
            <w:tcW w:w="7620" w:type="dxa"/>
          </w:tcPr>
          <w:p w14:paraId="656BB90A" w14:textId="77777777" w:rsidR="00CC7D2C" w:rsidRPr="001E3E85"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rPr>
                <w:rStyle w:val="InstructionsTabelleberschrift"/>
                <w:rFonts w:ascii="Times New Roman" w:hAnsi="Times New Roman"/>
                <w:sz w:val="24"/>
              </w:rPr>
              <w:tab/>
            </w:r>
            <w:proofErr w:type="spellStart"/>
            <w:r>
              <w:rPr>
                <w:rStyle w:val="InstructionsTabelleberschrift"/>
                <w:rFonts w:ascii="Times New Roman" w:hAnsi="Times New Roman"/>
                <w:sz w:val="24"/>
              </w:rPr>
              <w:t>SREP:n</w:t>
            </w:r>
            <w:proofErr w:type="spellEnd"/>
            <w:r>
              <w:rPr>
                <w:rStyle w:val="InstructionsTabelleberschrift"/>
                <w:rFonts w:ascii="Times New Roman" w:hAnsi="Times New Roman"/>
                <w:sz w:val="24"/>
              </w:rPr>
              <w:t xml:space="preserve"> mukaista kokonaispääomavaatimusta (TSCR) kuvaava suhde</w:t>
            </w:r>
          </w:p>
          <w:p w14:paraId="422D18B0" w14:textId="77777777" w:rsidR="00CC7D2C" w:rsidRPr="002A677E" w:rsidRDefault="00CC7D2C" w:rsidP="00320EFD">
            <w:pPr>
              <w:pStyle w:val="InstructionsText"/>
            </w:pPr>
            <w:r>
              <w:t>Jäljempänä olevien i ja ii alakohdan summa:</w:t>
            </w:r>
          </w:p>
          <w:p w14:paraId="5718EEA1" w14:textId="77777777" w:rsidR="00CC7D2C" w:rsidRPr="002A677E" w:rsidRDefault="00CC7D2C" w:rsidP="00320EFD">
            <w:pPr>
              <w:pStyle w:val="InstructionsText"/>
            </w:pPr>
            <w:r>
              <w:t xml:space="preserve">asetuksen (EU) N:o 575/2013 92 artiklan 1 artiklan c alakohdassa määritetty kokonaisvakavaraisuussuhde (8 %); </w:t>
            </w:r>
          </w:p>
          <w:p w14:paraId="72877665" w14:textId="77777777" w:rsidR="00CC7D2C" w:rsidRPr="002A677E" w:rsidRDefault="00CC7D2C" w:rsidP="00320EFD">
            <w:pPr>
              <w:pStyle w:val="InstructionsText"/>
            </w:pPr>
            <w:r>
              <w:t xml:space="preserve">direktiivin 2013/36/EU 104 artiklan 1 kohdan a alakohdassa tarkoitettuja omien varojen lisävaatimuksia (toisen pilarin vaatimuksia – P2R) kuvaava </w:t>
            </w:r>
            <w:proofErr w:type="gramStart"/>
            <w:r>
              <w:t>suhde,  joka</w:t>
            </w:r>
            <w:proofErr w:type="gramEnd"/>
            <w:r>
              <w:t xml:space="preserve"> määritetään </w:t>
            </w:r>
            <w:r>
              <w:rPr>
                <w:i/>
              </w:rPr>
              <w:t xml:space="preserve">Valvojan arviointiprosessin (SREP) ja valvonnan stressitestien yhteisistä menettelyistä ja menetelmistä annetuissa </w:t>
            </w:r>
            <w:proofErr w:type="spellStart"/>
            <w:r>
              <w:rPr>
                <w:i/>
              </w:rPr>
              <w:t>EPV:n</w:t>
            </w:r>
            <w:proofErr w:type="spellEnd"/>
            <w:r>
              <w:rPr>
                <w:i/>
              </w:rPr>
              <w:t xml:space="preserve"> ohjeissa</w:t>
            </w:r>
            <w:r>
              <w:t xml:space="preserve"> (EBA SREP GL) annettujen kriteerien mukaisesti.</w:t>
            </w:r>
          </w:p>
          <w:p w14:paraId="51D5EDB6" w14:textId="77777777" w:rsidR="00CC7D2C" w:rsidRPr="002A677E" w:rsidRDefault="00CC7D2C" w:rsidP="00320EFD">
            <w:pPr>
              <w:pStyle w:val="InstructionsText"/>
            </w:pPr>
            <w:r>
              <w:t xml:space="preserve">Tässä kohdassa ilmoitetaan </w:t>
            </w:r>
            <w:proofErr w:type="spellStart"/>
            <w:r>
              <w:t>SREP:n</w:t>
            </w:r>
            <w:proofErr w:type="spellEnd"/>
            <w:r>
              <w:t xml:space="preserve"> mukainen kokonaispääomavaatimus (TSCR), jonka toimivaltainen viranomainen on ilmoittanut laitokselle. TSCR määritellään EBA SREP GL -ohjeiden 7.4 ja 7.5 jaksossa.</w:t>
            </w:r>
          </w:p>
          <w:p w14:paraId="170D440C" w14:textId="77777777" w:rsidR="00CC7D2C" w:rsidRDefault="00CC7D2C" w:rsidP="00320EFD">
            <w:pPr>
              <w:pStyle w:val="InstructionsText"/>
            </w:pPr>
            <w:r>
              <w:t xml:space="preserve">Jos toimivaltainen viranomainen ei ole ilmoittanut omien varojen lisävaatimuksia, ilmoitetaan ainoastaan i alakohdan tiedot. </w:t>
            </w:r>
          </w:p>
          <w:p w14:paraId="72F84D88" w14:textId="77777777" w:rsidR="00CC7D2C" w:rsidRDefault="00CC7D2C" w:rsidP="00320EFD">
            <w:pPr>
              <w:pStyle w:val="InstructionsText"/>
            </w:pPr>
            <w:r>
              <w:lastRenderedPageBreak/>
              <w:t>Jos laitos on sidottu kokonaisriskipainolattiaan, raportoitavien tietojen on edustettava sitä kokonaispääomavaatimusta, jonka on täytettävä vaatimukset raportointipäivänä, ottaen huomioon direktiivin 2013/36/EU 104 a artiklan 6 kohdan säännökset.</w:t>
            </w:r>
          </w:p>
          <w:p w14:paraId="3AC35E0E" w14:textId="77777777" w:rsidR="00CC7D2C" w:rsidRPr="002A677E" w:rsidRDefault="00CC7D2C" w:rsidP="00320EFD">
            <w:pPr>
              <w:pStyle w:val="InstructionsText"/>
              <w:rPr>
                <w:rStyle w:val="InstructionsTabelleberschrift"/>
                <w:rFonts w:ascii="Times New Roman" w:hAnsi="Times New Roman"/>
                <w:b w:val="0"/>
                <w:bCs w:val="0"/>
                <w:sz w:val="24"/>
                <w:u w:val="none"/>
              </w:rPr>
            </w:pPr>
          </w:p>
        </w:tc>
      </w:tr>
      <w:tr w:rsidR="00CC7D2C" w:rsidRPr="002A677E" w14:paraId="7CE0B662" w14:textId="77777777" w:rsidTr="00822842">
        <w:tc>
          <w:tcPr>
            <w:tcW w:w="1163" w:type="dxa"/>
          </w:tcPr>
          <w:p w14:paraId="2A29C433" w14:textId="77777777" w:rsidR="00CC7D2C" w:rsidRPr="002A677E" w:rsidRDefault="00CC7D2C" w:rsidP="00320EFD">
            <w:pPr>
              <w:pStyle w:val="InstructionsText"/>
            </w:pPr>
            <w:r>
              <w:lastRenderedPageBreak/>
              <w:t>0140</w:t>
            </w:r>
          </w:p>
        </w:tc>
        <w:tc>
          <w:tcPr>
            <w:tcW w:w="7620" w:type="dxa"/>
          </w:tcPr>
          <w:p w14:paraId="1F58B3D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Pr>
                <w:rStyle w:val="InstructionsTabelleberschrift"/>
                <w:rFonts w:ascii="Times New Roman" w:hAnsi="Times New Roman"/>
                <w:sz w:val="24"/>
              </w:rPr>
              <w:tab/>
              <w:t xml:space="preserve">TSCR: ydinpääomasta (CET1) muodostettava </w:t>
            </w:r>
          </w:p>
          <w:p w14:paraId="28F90F3C" w14:textId="77777777" w:rsidR="00CC7D2C" w:rsidRPr="002A677E" w:rsidRDefault="00CC7D2C" w:rsidP="00320EFD">
            <w:pPr>
              <w:pStyle w:val="InstructionsText"/>
            </w:pPr>
            <w:r>
              <w:t>Jäljempänä olevien i ja ii alakohdan summa:</w:t>
            </w:r>
          </w:p>
          <w:p w14:paraId="75CA447D" w14:textId="77777777" w:rsidR="00CC7D2C" w:rsidRPr="002A677E" w:rsidRDefault="00CC7D2C" w:rsidP="00320EFD">
            <w:pPr>
              <w:pStyle w:val="InstructionsText"/>
              <w:numPr>
                <w:ilvl w:val="0"/>
                <w:numId w:val="20"/>
              </w:numPr>
            </w:pPr>
            <w:r>
              <w:t>asetuksen (EU) N:o 575/2013 92 artiklan 1 kohdan a alakohdan mukainen ydinvakavaraisuussuhde (CET1) (4,5 %);</w:t>
            </w:r>
          </w:p>
          <w:p w14:paraId="6BB26B7D" w14:textId="77777777" w:rsidR="00CC7D2C" w:rsidRPr="002A677E" w:rsidRDefault="00CC7D2C" w:rsidP="00320EFD">
            <w:pPr>
              <w:pStyle w:val="InstructionsText"/>
              <w:numPr>
                <w:ilvl w:val="0"/>
                <w:numId w:val="20"/>
              </w:numPr>
              <w:rPr>
                <w:b/>
                <w:bCs/>
                <w:u w:val="single"/>
              </w:rPr>
            </w:pPr>
            <w:r>
              <w:t>se osa riviä 0130 koskevien ohjeiden ii alakohdassa tarkoitettua P2R-suhdetta, jonka toimivaltainen viranomainen vaatii pidettävän ydinpääoman (CET1) muodossa.</w:t>
            </w:r>
          </w:p>
          <w:p w14:paraId="36D292D2" w14:textId="77777777" w:rsidR="00CC7D2C" w:rsidRDefault="00CC7D2C" w:rsidP="00320EFD">
            <w:pPr>
              <w:pStyle w:val="InstructionsText"/>
              <w:rPr>
                <w:rStyle w:val="InstructionsTabelleberschrift"/>
                <w:rFonts w:ascii="Times New Roman" w:hAnsi="Times New Roman"/>
                <w:b w:val="0"/>
                <w:sz w:val="24"/>
              </w:rPr>
            </w:pPr>
            <w:r>
              <w:t>Jos toimivaltainen viranomainen ei ole ilmoittanut omien varojen lisävaatimuksia, jotka on pidettävä ydinpääoman (CET1) muodossa, ilmoitetaan ainoastaan i alakohdan tiedot.</w:t>
            </w:r>
            <w:r>
              <w:rPr>
                <w:rStyle w:val="InstructionsTabelleberschrift"/>
                <w:rFonts w:ascii="Times New Roman" w:hAnsi="Times New Roman"/>
                <w:b w:val="0"/>
                <w:sz w:val="24"/>
              </w:rPr>
              <w:t xml:space="preserve"> </w:t>
            </w:r>
          </w:p>
          <w:p w14:paraId="4757583B" w14:textId="77777777" w:rsidR="00CC7D2C" w:rsidRPr="002A677E" w:rsidRDefault="00CC7D2C" w:rsidP="00320EFD">
            <w:pPr>
              <w:pStyle w:val="InstructionsText"/>
              <w:rPr>
                <w:rStyle w:val="InstructionsTabelleberschrift"/>
                <w:rFonts w:ascii="Times New Roman" w:hAnsi="Times New Roman"/>
                <w:sz w:val="24"/>
              </w:rPr>
            </w:pPr>
            <w:r>
              <w:t>Jos laitos on sidottu kokonaisriskipainolattiaan, raportoitavien tietojen on edustettava sitä kokonaispääomavaatimusta, jonka on täytettävä vaatimukset raportointipäivänä, ottaen huomioon direktiivin 2013/36/EU 104 a artiklan 6 kohdan säännökset.</w:t>
            </w:r>
          </w:p>
        </w:tc>
      </w:tr>
      <w:tr w:rsidR="00CC7D2C" w:rsidRPr="002A677E" w14:paraId="7C142038" w14:textId="77777777" w:rsidTr="00822842">
        <w:tc>
          <w:tcPr>
            <w:tcW w:w="1163" w:type="dxa"/>
          </w:tcPr>
          <w:p w14:paraId="53C1BD78" w14:textId="77777777" w:rsidR="00CC7D2C" w:rsidRPr="002A677E" w:rsidRDefault="00CC7D2C" w:rsidP="00320EFD">
            <w:pPr>
              <w:pStyle w:val="InstructionsText"/>
            </w:pPr>
            <w:r>
              <w:t>0150</w:t>
            </w:r>
          </w:p>
        </w:tc>
        <w:tc>
          <w:tcPr>
            <w:tcW w:w="7620" w:type="dxa"/>
          </w:tcPr>
          <w:p w14:paraId="4A8E85C7"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Pr>
                <w:rStyle w:val="InstructionsTabelleberschrift"/>
                <w:rFonts w:ascii="Times New Roman" w:hAnsi="Times New Roman"/>
                <w:sz w:val="24"/>
              </w:rPr>
              <w:tab/>
              <w:t>TSCR: ensisijaisesta pääomasta (T1) muodostettava</w:t>
            </w:r>
          </w:p>
          <w:p w14:paraId="58AEED52" w14:textId="77777777" w:rsidR="00CC7D2C" w:rsidRPr="002A677E" w:rsidRDefault="00CC7D2C" w:rsidP="00320EFD">
            <w:pPr>
              <w:pStyle w:val="InstructionsText"/>
            </w:pPr>
            <w:r>
              <w:t>Jäljempänä olevien i ja ii alakohdan summa:</w:t>
            </w:r>
          </w:p>
          <w:p w14:paraId="49D34E50" w14:textId="77777777" w:rsidR="00CC7D2C" w:rsidRPr="002A677E" w:rsidRDefault="00CC7D2C" w:rsidP="00320EFD">
            <w:pPr>
              <w:pStyle w:val="InstructionsText"/>
              <w:numPr>
                <w:ilvl w:val="0"/>
                <w:numId w:val="21"/>
              </w:numPr>
            </w:pPr>
            <w:r>
              <w:t>asetuksen (EU) N:o 575/2013 92 artiklan 1 kohdan b alakohdan mukainen vakavaraisuussuhde ensisijaisella pääomalla (T1) (6 %);</w:t>
            </w:r>
          </w:p>
          <w:p w14:paraId="4A701FA4" w14:textId="77777777" w:rsidR="00CC7D2C" w:rsidRPr="002A677E" w:rsidRDefault="00CC7D2C" w:rsidP="00320EFD">
            <w:pPr>
              <w:pStyle w:val="InstructionsText"/>
              <w:numPr>
                <w:ilvl w:val="0"/>
                <w:numId w:val="21"/>
              </w:numPr>
              <w:rPr>
                <w:bCs/>
                <w:u w:val="single"/>
              </w:rPr>
            </w:pPr>
            <w:r>
              <w:t>se osa riviä 0130 koskevien ohjeiden ii alakohdassa tarkoitettua P2R-suhdetta, jonka toimivaltainen viranomainen vaatii pidettävän ensisijaisen pääoman (T1) muodossa.</w:t>
            </w:r>
          </w:p>
          <w:p w14:paraId="4A7AA27B" w14:textId="77777777" w:rsidR="00CC7D2C" w:rsidRDefault="00CC7D2C" w:rsidP="00320EFD">
            <w:pPr>
              <w:pStyle w:val="InstructionsText"/>
            </w:pPr>
            <w:r>
              <w:t>Jos toimivaltainen viranomainen ei ole ilmoittanut omien varojen lisävaatimuksia, jotka on pidettävä ensisijaisen pääoman (T1) muodossa, ilmoitetaan ainoastaan i alakohdan tiedot.</w:t>
            </w:r>
          </w:p>
          <w:p w14:paraId="5DB82299" w14:textId="77777777" w:rsidR="00CC7D2C" w:rsidRPr="002A677E" w:rsidRDefault="00CC7D2C" w:rsidP="00320EFD">
            <w:pPr>
              <w:pStyle w:val="InstructionsText"/>
              <w:rPr>
                <w:rStyle w:val="InstructionsTabelleberschrift"/>
                <w:rFonts w:ascii="Times New Roman" w:hAnsi="Times New Roman"/>
                <w:b w:val="0"/>
                <w:sz w:val="24"/>
              </w:rPr>
            </w:pPr>
            <w:r>
              <w:t>Jos laitos on sidottu kokonaisriskipainolattiaan, raportoitavien tietojen on edustettava sitä kokonaispääomavaatimusta, jonka on täytettävä vaatimukset raportointipäivänä, ottaen huomioon direktiivin 2013/36/EU 104 a artiklan 6 kohdan säännökset.</w:t>
            </w:r>
          </w:p>
        </w:tc>
      </w:tr>
      <w:tr w:rsidR="00CC7D2C" w:rsidRPr="002A677E" w14:paraId="2826A7E5" w14:textId="77777777" w:rsidTr="00822842">
        <w:tc>
          <w:tcPr>
            <w:tcW w:w="1163" w:type="dxa"/>
          </w:tcPr>
          <w:p w14:paraId="2B24FFFA" w14:textId="77777777" w:rsidR="00CC7D2C" w:rsidRPr="002A677E" w:rsidRDefault="00CC7D2C" w:rsidP="00320EFD">
            <w:pPr>
              <w:pStyle w:val="InstructionsText"/>
            </w:pPr>
            <w:r>
              <w:t>0151</w:t>
            </w:r>
          </w:p>
        </w:tc>
        <w:tc>
          <w:tcPr>
            <w:tcW w:w="7620" w:type="dxa"/>
          </w:tcPr>
          <w:p w14:paraId="457CE892" w14:textId="6C5B141E"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13a     </w:t>
            </w:r>
            <w:proofErr w:type="spellStart"/>
            <w:r>
              <w:rPr>
                <w:rStyle w:val="InstructionsTabelleberschrift"/>
                <w:rFonts w:ascii="Times New Roman" w:hAnsi="Times New Roman"/>
                <w:sz w:val="24"/>
              </w:rPr>
              <w:t>SREP:n</w:t>
            </w:r>
            <w:proofErr w:type="spellEnd"/>
            <w:r>
              <w:rPr>
                <w:rStyle w:val="InstructionsTabelleberschrift"/>
                <w:rFonts w:ascii="Times New Roman" w:hAnsi="Times New Roman"/>
                <w:sz w:val="24"/>
              </w:rPr>
              <w:t xml:space="preserve"> mukainen kokonaispääomavaatimusta (TSCR) kuvaava suhde ilman direktiivin 2013/36/EU 104 a artiklan 6 kohdan a alakohdan mukaista ylärajaa</w:t>
            </w:r>
          </w:p>
          <w:p w14:paraId="63F2FF34" w14:textId="7D1FAC05" w:rsidR="00CC7D2C" w:rsidRDefault="00CC7D2C" w:rsidP="00320EFD">
            <w:pPr>
              <w:pStyle w:val="InstructionsText"/>
            </w:pPr>
            <w:r>
              <w:t>Direktiivin 2013/36/EU 104 a artiklan 6 kohdan a alakohta.</w:t>
            </w:r>
          </w:p>
          <w:p w14:paraId="7C3569BE" w14:textId="77777777" w:rsidR="00CC7D2C" w:rsidRPr="002A677E" w:rsidRDefault="00CC7D2C" w:rsidP="00320EFD">
            <w:pPr>
              <w:pStyle w:val="InstructionsText"/>
              <w:rPr>
                <w:rStyle w:val="InstructionsTabelleberschrift"/>
                <w:rFonts w:ascii="Times New Roman" w:hAnsi="Times New Roman"/>
                <w:sz w:val="24"/>
              </w:rPr>
            </w:pPr>
            <w:r>
              <w:t>Kokonaisriskipainolattiaan sidottujen laitosten osalta kokonaispääomavaatimusta (TSCR) kuvaava suhde ilman direktiivin 2013/36/EU 104 a artiklan 6 kohdan b alakohdassa säädettyä väliaikaista ylärajaa.</w:t>
            </w:r>
          </w:p>
        </w:tc>
      </w:tr>
      <w:tr w:rsidR="00CC7D2C" w:rsidRPr="002A677E" w14:paraId="02CF936B" w14:textId="77777777" w:rsidTr="00822842">
        <w:tc>
          <w:tcPr>
            <w:tcW w:w="1163" w:type="dxa"/>
          </w:tcPr>
          <w:p w14:paraId="6E03B80E" w14:textId="77777777" w:rsidR="00CC7D2C" w:rsidRPr="002A677E" w:rsidRDefault="00CC7D2C" w:rsidP="00320EFD">
            <w:pPr>
              <w:pStyle w:val="InstructionsText"/>
            </w:pPr>
            <w:r>
              <w:t>0152</w:t>
            </w:r>
          </w:p>
        </w:tc>
        <w:tc>
          <w:tcPr>
            <w:tcW w:w="7620" w:type="dxa"/>
          </w:tcPr>
          <w:p w14:paraId="1FB8F650"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13a*    TSCR: ydinpääomasta (CET1) muodostettava</w:t>
            </w:r>
          </w:p>
          <w:p w14:paraId="15CE0D0B" w14:textId="43173606" w:rsidR="00CC7D2C" w:rsidRDefault="00CC7D2C" w:rsidP="00320EFD">
            <w:pPr>
              <w:pStyle w:val="InstructionsText"/>
            </w:pPr>
            <w:r>
              <w:lastRenderedPageBreak/>
              <w:t>Direktiivin 2013/36/EU 104 a artiklan 6 kohdan a alakohta.</w:t>
            </w:r>
          </w:p>
          <w:p w14:paraId="1CD71865" w14:textId="77777777" w:rsidR="00CC7D2C" w:rsidRPr="002A677E" w:rsidRDefault="00CC7D2C" w:rsidP="00320EFD">
            <w:pPr>
              <w:pStyle w:val="InstructionsText"/>
              <w:rPr>
                <w:rStyle w:val="InstructionsTabelleberschrift"/>
                <w:rFonts w:ascii="Times New Roman" w:hAnsi="Times New Roman"/>
                <w:sz w:val="24"/>
              </w:rPr>
            </w:pPr>
            <w:r>
              <w:t>Kokonaisriskipainolattiaan sidottujen laitosten osalta kokonaispääomavaatimusta (TSCR) kuvaava suhde ilman direktiivin 2013/36/EU 104 a artiklan 6 kohdan b alakohdassa säädettyä väliaikaista ylärajaa.</w:t>
            </w:r>
          </w:p>
        </w:tc>
      </w:tr>
      <w:tr w:rsidR="00CC7D2C" w:rsidRPr="002A677E" w14:paraId="52229381" w14:textId="77777777" w:rsidTr="00822842">
        <w:tc>
          <w:tcPr>
            <w:tcW w:w="1163" w:type="dxa"/>
          </w:tcPr>
          <w:p w14:paraId="7057103D" w14:textId="77777777" w:rsidR="00CC7D2C" w:rsidRPr="002A677E" w:rsidRDefault="00CC7D2C" w:rsidP="00320EFD">
            <w:pPr>
              <w:pStyle w:val="InstructionsText"/>
            </w:pPr>
            <w:r>
              <w:lastRenderedPageBreak/>
              <w:t>0153</w:t>
            </w:r>
          </w:p>
        </w:tc>
        <w:tc>
          <w:tcPr>
            <w:tcW w:w="7620" w:type="dxa"/>
          </w:tcPr>
          <w:p w14:paraId="5716DFFC"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13a*</w:t>
            </w:r>
            <w:proofErr w:type="gramStart"/>
            <w:r>
              <w:rPr>
                <w:rStyle w:val="InstructionsTabelleberschrift"/>
                <w:rFonts w:ascii="Times New Roman" w:hAnsi="Times New Roman"/>
                <w:sz w:val="24"/>
              </w:rPr>
              <w:t>*  TSCR</w:t>
            </w:r>
            <w:proofErr w:type="gramEnd"/>
            <w:r>
              <w:rPr>
                <w:rStyle w:val="InstructionsTabelleberschrift"/>
                <w:rFonts w:ascii="Times New Roman" w:hAnsi="Times New Roman"/>
                <w:sz w:val="24"/>
              </w:rPr>
              <w:t>: ensisijaisesta pääomasta (T1) muodostettava</w:t>
            </w:r>
          </w:p>
          <w:p w14:paraId="244808EF" w14:textId="6711A984" w:rsidR="00CC7D2C" w:rsidRDefault="00CC7D2C" w:rsidP="00320EFD">
            <w:pPr>
              <w:pStyle w:val="InstructionsText"/>
            </w:pPr>
            <w:r>
              <w:t>Direktiivin 2013/36/EU 104 a artiklan 6 kohdan a alakohta.</w:t>
            </w:r>
          </w:p>
          <w:p w14:paraId="7A8B6EB2" w14:textId="77777777" w:rsidR="00CC7D2C" w:rsidRPr="002A677E" w:rsidRDefault="00CC7D2C" w:rsidP="00320EFD">
            <w:pPr>
              <w:pStyle w:val="InstructionsText"/>
              <w:rPr>
                <w:rStyle w:val="InstructionsTabelleberschrift"/>
                <w:rFonts w:ascii="Times New Roman" w:hAnsi="Times New Roman"/>
                <w:sz w:val="24"/>
              </w:rPr>
            </w:pPr>
            <w:r>
              <w:t>Kokonaisriskipainolattiaan sidottujen laitosten osalta kokonaispääomavaatimusta (TSCR) kuvaava suhde ilman direktiivin 2013/36/EU 104 a artiklan 6 kohdan b alakohdassa säädettyä väliaikaista ylärajaa.</w:t>
            </w:r>
          </w:p>
        </w:tc>
      </w:tr>
      <w:tr w:rsidR="00CC7D2C" w:rsidRPr="002A677E" w14:paraId="6ACB8E92" w14:textId="77777777" w:rsidTr="00822842">
        <w:tc>
          <w:tcPr>
            <w:tcW w:w="1163" w:type="dxa"/>
          </w:tcPr>
          <w:p w14:paraId="1381AAFC" w14:textId="77777777" w:rsidR="00CC7D2C" w:rsidRPr="002A677E" w:rsidRDefault="00CC7D2C" w:rsidP="00320EFD">
            <w:pPr>
              <w:pStyle w:val="InstructionsText"/>
            </w:pPr>
            <w:r>
              <w:t>0160</w:t>
            </w:r>
          </w:p>
        </w:tc>
        <w:tc>
          <w:tcPr>
            <w:tcW w:w="7620" w:type="dxa"/>
          </w:tcPr>
          <w:p w14:paraId="70894755"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Pr>
                <w:rStyle w:val="InstructionsTabelleberschrift"/>
                <w:rFonts w:ascii="Times New Roman" w:hAnsi="Times New Roman"/>
                <w:sz w:val="24"/>
              </w:rPr>
              <w:tab/>
              <w:t>Yhteenlaskettua pääomavaatimusta (OCR) kuvaava suhde</w:t>
            </w:r>
          </w:p>
          <w:p w14:paraId="5D827426" w14:textId="77777777" w:rsidR="00CC7D2C" w:rsidRPr="002A677E" w:rsidRDefault="00CC7D2C" w:rsidP="00320EFD">
            <w:pPr>
              <w:pStyle w:val="InstructionsText"/>
            </w:pPr>
            <w:r>
              <w:t>Jäljempänä olevien i ja ii alakohdan summa:</w:t>
            </w:r>
          </w:p>
          <w:p w14:paraId="70AEC1C6" w14:textId="77777777" w:rsidR="00CC7D2C" w:rsidRPr="002A677E" w:rsidRDefault="00CC7D2C" w:rsidP="00320EFD">
            <w:pPr>
              <w:pStyle w:val="InstructionsText"/>
              <w:numPr>
                <w:ilvl w:val="0"/>
                <w:numId w:val="22"/>
              </w:numPr>
            </w:pPr>
            <w:r>
              <w:t>rivillä 0130 tarkoitettu TSCR-suhde;</w:t>
            </w:r>
          </w:p>
          <w:p w14:paraId="7B4CBF50" w14:textId="77777777" w:rsidR="00CC7D2C" w:rsidRPr="002A677E" w:rsidRDefault="00CC7D2C" w:rsidP="00320EFD">
            <w:pPr>
              <w:pStyle w:val="InstructionsText"/>
              <w:numPr>
                <w:ilvl w:val="0"/>
                <w:numId w:val="22"/>
              </w:numPr>
            </w:pPr>
            <w:r>
              <w:t>direktiivin 2013/36/EU 128 artiklan 6 alakohdassa tarkoitettu yhteenlaskettua puskurivaatimusta kuvaava suhde, jos se on lain mukaan sovellettavissa.</w:t>
            </w:r>
          </w:p>
          <w:p w14:paraId="4A545FF7" w14:textId="77777777" w:rsidR="00CC7D2C" w:rsidRPr="002A677E" w:rsidRDefault="00CC7D2C" w:rsidP="00320EFD">
            <w:pPr>
              <w:pStyle w:val="InstructionsText"/>
            </w:pPr>
            <w:r>
              <w:t>Tässä kohdassa ilmoitetaan EBA SREP GL -ohjeiden 7.5 jaksossa määritelty yhteenlaskettua pääomavaatimusta (OCR) kuvaava suhde.</w:t>
            </w:r>
          </w:p>
          <w:p w14:paraId="21F262F8" w14:textId="77777777" w:rsidR="00CC7D2C" w:rsidRPr="002A677E" w:rsidRDefault="00CC7D2C" w:rsidP="00320EFD">
            <w:pPr>
              <w:pStyle w:val="InstructionsText"/>
              <w:rPr>
                <w:rStyle w:val="InstructionsTabelleberschrift"/>
                <w:rFonts w:ascii="Times New Roman" w:hAnsi="Times New Roman"/>
                <w:sz w:val="24"/>
              </w:rPr>
            </w:pPr>
            <w:r>
              <w:t>Jos puskurivaatimusta ei sovelleta, ilmoitetaan ainoastaan i alakohdan tiedot.</w:t>
            </w:r>
          </w:p>
        </w:tc>
      </w:tr>
      <w:tr w:rsidR="00CC7D2C" w:rsidRPr="002A677E" w14:paraId="5DBF6C6C" w14:textId="77777777" w:rsidTr="00822842">
        <w:tc>
          <w:tcPr>
            <w:tcW w:w="1163" w:type="dxa"/>
          </w:tcPr>
          <w:p w14:paraId="1E296603" w14:textId="77777777" w:rsidR="00CC7D2C" w:rsidRPr="002A677E" w:rsidRDefault="00CC7D2C" w:rsidP="00320EFD">
            <w:pPr>
              <w:pStyle w:val="InstructionsText"/>
            </w:pPr>
            <w:r>
              <w:t>0170</w:t>
            </w:r>
          </w:p>
        </w:tc>
        <w:tc>
          <w:tcPr>
            <w:tcW w:w="7620" w:type="dxa"/>
          </w:tcPr>
          <w:p w14:paraId="353B3504"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Pr>
                <w:rStyle w:val="InstructionsTabelleberschrift"/>
                <w:rFonts w:ascii="Times New Roman" w:hAnsi="Times New Roman"/>
                <w:sz w:val="24"/>
              </w:rPr>
              <w:tab/>
              <w:t xml:space="preserve">OCR: ydinpääomasta (CET1) muodostettava </w:t>
            </w:r>
          </w:p>
          <w:p w14:paraId="3B6DAF93" w14:textId="77777777" w:rsidR="00CC7D2C" w:rsidRPr="002A677E" w:rsidRDefault="00CC7D2C" w:rsidP="00320EFD">
            <w:pPr>
              <w:pStyle w:val="InstructionsText"/>
            </w:pPr>
            <w:r>
              <w:t>Jäljempänä olevien i ja ii alakohdan summa:</w:t>
            </w:r>
          </w:p>
          <w:p w14:paraId="79F55B10" w14:textId="77777777" w:rsidR="00CC7D2C" w:rsidRPr="002A677E" w:rsidRDefault="00CC7D2C" w:rsidP="00320EFD">
            <w:pPr>
              <w:pStyle w:val="InstructionsText"/>
              <w:numPr>
                <w:ilvl w:val="0"/>
                <w:numId w:val="23"/>
              </w:numPr>
            </w:pPr>
            <w:r>
              <w:t>rivillä 0140 tarkoitettu ydinpääomasta (CET1) muodostettava TSCR-suhde;</w:t>
            </w:r>
          </w:p>
          <w:p w14:paraId="54B36BA6" w14:textId="77777777" w:rsidR="00CC7D2C" w:rsidRPr="002A677E" w:rsidRDefault="00CC7D2C" w:rsidP="00320EFD">
            <w:pPr>
              <w:pStyle w:val="InstructionsText"/>
              <w:numPr>
                <w:ilvl w:val="0"/>
                <w:numId w:val="23"/>
              </w:numPr>
              <w:rPr>
                <w:bCs/>
                <w:u w:val="single"/>
              </w:rPr>
            </w:pPr>
            <w:r>
              <w:t>direktiivin 2013/36/EU 128 artiklan 6 alakohdassa tarkoitettu yhteenlaskettua puskurivaatimusta kuvaava suhde, jos se on lain mukaan sovellettavissa.</w:t>
            </w:r>
          </w:p>
          <w:p w14:paraId="02359C72" w14:textId="77777777" w:rsidR="00CC7D2C" w:rsidRPr="002A677E" w:rsidRDefault="00CC7D2C" w:rsidP="00320EFD">
            <w:pPr>
              <w:pStyle w:val="InstructionsText"/>
              <w:rPr>
                <w:rStyle w:val="InstructionsTabelleberschrift"/>
                <w:rFonts w:ascii="Times New Roman" w:hAnsi="Times New Roman"/>
                <w:b w:val="0"/>
                <w:sz w:val="24"/>
              </w:rPr>
            </w:pPr>
            <w:r>
              <w:t>Jos puskurivaatimusta ei sovelleta, ilmoitetaan ainoastaan i alakohdan tiedot.</w:t>
            </w:r>
          </w:p>
        </w:tc>
      </w:tr>
      <w:tr w:rsidR="00CC7D2C" w:rsidRPr="002A677E" w14:paraId="466E0813" w14:textId="77777777" w:rsidTr="00822842">
        <w:tc>
          <w:tcPr>
            <w:tcW w:w="1163" w:type="dxa"/>
          </w:tcPr>
          <w:p w14:paraId="13AF4F1F" w14:textId="77777777" w:rsidR="00CC7D2C" w:rsidRPr="002A677E" w:rsidRDefault="00CC7D2C" w:rsidP="00320EFD">
            <w:pPr>
              <w:pStyle w:val="InstructionsText"/>
            </w:pPr>
            <w:r>
              <w:t>0180</w:t>
            </w:r>
          </w:p>
        </w:tc>
        <w:tc>
          <w:tcPr>
            <w:tcW w:w="7620" w:type="dxa"/>
          </w:tcPr>
          <w:p w14:paraId="477B013F"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Pr>
                <w:rStyle w:val="InstructionsTabelleberschrift"/>
                <w:rFonts w:ascii="Times New Roman" w:hAnsi="Times New Roman"/>
                <w:sz w:val="24"/>
              </w:rPr>
              <w:tab/>
              <w:t>OCR: ensisijaisesta pääomasta (T1) muodostettava</w:t>
            </w:r>
          </w:p>
          <w:p w14:paraId="54EBB570" w14:textId="77777777" w:rsidR="00CC7D2C" w:rsidRPr="002A677E" w:rsidRDefault="00CC7D2C" w:rsidP="00320EFD">
            <w:pPr>
              <w:pStyle w:val="InstructionsText"/>
            </w:pPr>
            <w:r>
              <w:t>Jäljempänä olevien i ja ii alakohdan summa:</w:t>
            </w:r>
          </w:p>
          <w:p w14:paraId="719C6493" w14:textId="77777777" w:rsidR="00CC7D2C" w:rsidRPr="002A677E" w:rsidRDefault="00CC7D2C" w:rsidP="00320EFD">
            <w:pPr>
              <w:pStyle w:val="InstructionsText"/>
              <w:numPr>
                <w:ilvl w:val="0"/>
                <w:numId w:val="24"/>
              </w:numPr>
            </w:pPr>
            <w:r>
              <w:t>rivillä 0150 tarkoitettu ensisijaisesta pääomasta (T1) muodostettava TSCR-suhde;</w:t>
            </w:r>
          </w:p>
          <w:p w14:paraId="17CB41E8" w14:textId="77777777" w:rsidR="00CC7D2C" w:rsidRPr="002A677E" w:rsidRDefault="00CC7D2C" w:rsidP="00320EFD">
            <w:pPr>
              <w:pStyle w:val="InstructionsText"/>
              <w:numPr>
                <w:ilvl w:val="0"/>
                <w:numId w:val="24"/>
              </w:numPr>
              <w:rPr>
                <w:bCs/>
                <w:u w:val="single"/>
              </w:rPr>
            </w:pPr>
            <w:r>
              <w:t>direktiivin 2013/36/EU 128 artiklan 6 alakohdassa tarkoitettu yhteenlaskettua puskurivaatimusta kuvaava suhde, jos se on lain mukaan sovellettavissa.</w:t>
            </w:r>
          </w:p>
          <w:p w14:paraId="6BAC2756" w14:textId="77777777" w:rsidR="00CC7D2C" w:rsidRPr="002A677E" w:rsidRDefault="00CC7D2C" w:rsidP="00320EFD">
            <w:pPr>
              <w:pStyle w:val="InstructionsText"/>
              <w:rPr>
                <w:rStyle w:val="InstructionsTabelleberschrift"/>
                <w:rFonts w:ascii="Times New Roman" w:hAnsi="Times New Roman"/>
                <w:b w:val="0"/>
                <w:sz w:val="24"/>
              </w:rPr>
            </w:pPr>
            <w:r>
              <w:t>Jos puskurivaatimusta ei sovelleta, ilmoitetaan ainoastaan i alakohdan tiedot.</w:t>
            </w:r>
          </w:p>
        </w:tc>
      </w:tr>
      <w:tr w:rsidR="00CC7D2C" w:rsidRPr="002A677E" w14:paraId="1C64807A" w14:textId="77777777" w:rsidTr="00822842">
        <w:tc>
          <w:tcPr>
            <w:tcW w:w="1163" w:type="dxa"/>
          </w:tcPr>
          <w:p w14:paraId="0638A83B" w14:textId="77777777" w:rsidR="00CC7D2C" w:rsidRPr="002A677E" w:rsidRDefault="00CC7D2C" w:rsidP="00320EFD">
            <w:pPr>
              <w:pStyle w:val="InstructionsText"/>
            </w:pPr>
            <w:r>
              <w:lastRenderedPageBreak/>
              <w:t>0190</w:t>
            </w:r>
          </w:p>
        </w:tc>
        <w:tc>
          <w:tcPr>
            <w:tcW w:w="7620" w:type="dxa"/>
          </w:tcPr>
          <w:p w14:paraId="469AA56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Pr>
                <w:rStyle w:val="InstructionsTabelleberschrift"/>
                <w:rFonts w:ascii="Times New Roman" w:hAnsi="Times New Roman"/>
                <w:sz w:val="24"/>
              </w:rPr>
              <w:tab/>
              <w:t>Yhteenlaskettua pääomavaatimusta (OCR) ja toisen pilarin mukaista pääomaohjeistusta (P2G) kuvaava suhde</w:t>
            </w:r>
          </w:p>
          <w:p w14:paraId="35C8C660" w14:textId="77777777" w:rsidR="00CC7D2C" w:rsidRPr="002A677E" w:rsidRDefault="00CC7D2C" w:rsidP="00320EFD">
            <w:pPr>
              <w:pStyle w:val="InstructionsText"/>
            </w:pPr>
            <w:r>
              <w:t>Jäljempänä olevien i ja ii alakohdan summa:</w:t>
            </w:r>
          </w:p>
          <w:p w14:paraId="726F15CE" w14:textId="77777777" w:rsidR="00CC7D2C" w:rsidRPr="002A677E" w:rsidRDefault="00CC7D2C" w:rsidP="00320EFD">
            <w:pPr>
              <w:pStyle w:val="InstructionsText"/>
              <w:numPr>
                <w:ilvl w:val="0"/>
                <w:numId w:val="25"/>
              </w:numPr>
            </w:pPr>
            <w:r>
              <w:t>rivillä 160 tarkoitettu OCR-suhde;</w:t>
            </w:r>
          </w:p>
          <w:p w14:paraId="2AA4843C" w14:textId="77777777" w:rsidR="00CC7D2C" w:rsidRPr="002A677E" w:rsidRDefault="00CC7D2C" w:rsidP="00320EFD">
            <w:pPr>
              <w:pStyle w:val="InstructionsText"/>
              <w:numPr>
                <w:ilvl w:val="0"/>
                <w:numId w:val="25"/>
              </w:numPr>
              <w:rPr>
                <w:bCs/>
                <w:u w:val="single"/>
              </w:rPr>
            </w:pPr>
            <w:r>
              <w:t>jos sovellettavissa, direktiivin 2013/36/EU 104 b artiklan 3 kohdassa tarkoitetut toimivaltaisen viranomaisen ilmoittamat täydentäviä omia varoja koskevat ohjeet (toisen pilarin mukainen pääomaohjeistus, P2G), suhteena ilmaistuna. Ohjeet on määriteltävä EBA SREP GL -ohjeiden 7.7.1 jakson mukaisesti. P2G otetaan mukaan vain, jos toimivaltainen viranomainen on ilmoittanut sen laitokselle.</w:t>
            </w:r>
          </w:p>
          <w:p w14:paraId="0471CA24" w14:textId="77777777" w:rsidR="00CC7D2C" w:rsidRPr="002A677E" w:rsidRDefault="00CC7D2C" w:rsidP="00320EFD">
            <w:pPr>
              <w:pStyle w:val="InstructionsText"/>
              <w:rPr>
                <w:rStyle w:val="InstructionsTabelleberschrift"/>
                <w:rFonts w:ascii="Times New Roman" w:hAnsi="Times New Roman"/>
                <w:b w:val="0"/>
                <w:sz w:val="24"/>
              </w:rPr>
            </w:pPr>
            <w:r>
              <w:t xml:space="preserve">Jos toimivaltainen viranomainen ei ole ilmoittanut P2G:tä, ilmoitetaan ainoastaan i alakohdan tiedot. </w:t>
            </w:r>
          </w:p>
        </w:tc>
      </w:tr>
      <w:tr w:rsidR="00CC7D2C" w:rsidRPr="002A677E" w14:paraId="5ED669FA" w14:textId="77777777" w:rsidTr="00822842">
        <w:tc>
          <w:tcPr>
            <w:tcW w:w="1163" w:type="dxa"/>
          </w:tcPr>
          <w:p w14:paraId="56A1810A" w14:textId="77777777" w:rsidR="00CC7D2C" w:rsidRPr="002A677E" w:rsidRDefault="00CC7D2C" w:rsidP="00320EFD">
            <w:pPr>
              <w:pStyle w:val="InstructionsText"/>
            </w:pPr>
            <w:r>
              <w:t>0200</w:t>
            </w:r>
          </w:p>
        </w:tc>
        <w:tc>
          <w:tcPr>
            <w:tcW w:w="7620" w:type="dxa"/>
          </w:tcPr>
          <w:p w14:paraId="0CE049B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Pr>
                <w:rStyle w:val="InstructionsTabelleberschrift"/>
                <w:rFonts w:ascii="Times New Roman" w:hAnsi="Times New Roman"/>
                <w:sz w:val="24"/>
              </w:rPr>
              <w:tab/>
              <w:t xml:space="preserve">OCR ja P2G: ydinpääomasta (CET1) muodostettava </w:t>
            </w:r>
          </w:p>
          <w:p w14:paraId="13795065" w14:textId="77777777" w:rsidR="00CC7D2C" w:rsidRPr="002A677E" w:rsidRDefault="00CC7D2C" w:rsidP="00320EFD">
            <w:pPr>
              <w:pStyle w:val="InstructionsText"/>
            </w:pPr>
            <w:r>
              <w:t>Jäljempänä olevien i ja ii alakohdan summa:</w:t>
            </w:r>
          </w:p>
          <w:p w14:paraId="300DF4C8" w14:textId="77777777" w:rsidR="00CC7D2C" w:rsidRPr="002A677E" w:rsidRDefault="00CC7D2C" w:rsidP="00320EFD">
            <w:pPr>
              <w:pStyle w:val="InstructionsText"/>
              <w:numPr>
                <w:ilvl w:val="0"/>
                <w:numId w:val="26"/>
              </w:numPr>
            </w:pPr>
            <w:r>
              <w:t>rivillä 0170 tarkoitettu ydinpääomasta (CET1) muodostettava OCR-suhde;</w:t>
            </w:r>
          </w:p>
          <w:p w14:paraId="22745814" w14:textId="77777777" w:rsidR="00CC7D2C" w:rsidRPr="002A677E" w:rsidRDefault="00CC7D2C" w:rsidP="00320EFD">
            <w:pPr>
              <w:pStyle w:val="InstructionsText"/>
              <w:numPr>
                <w:ilvl w:val="0"/>
                <w:numId w:val="26"/>
              </w:numPr>
              <w:rPr>
                <w:bCs/>
                <w:u w:val="single"/>
              </w:rPr>
            </w:pPr>
            <w:r>
              <w:t>jos sovellettavissa, se osa riviä 0190 koskevien ohjeiden ii alakohdassa tarkoitettua P2G:tä, jonka toimivaltainen viranomainen vaatii pidettävän ydinpääoman (CET1) muodossa. P2G otetaan mukaan vain, jos toimivaltainen viranomainen on ilmoittanut sen laitokselle.</w:t>
            </w:r>
          </w:p>
          <w:p w14:paraId="6463AC50" w14:textId="77777777" w:rsidR="00CC7D2C" w:rsidRPr="002A677E" w:rsidRDefault="00CC7D2C" w:rsidP="00320EFD">
            <w:pPr>
              <w:pStyle w:val="InstructionsText"/>
              <w:rPr>
                <w:rStyle w:val="InstructionsTabelleberschrift"/>
                <w:rFonts w:ascii="Times New Roman" w:hAnsi="Times New Roman"/>
                <w:b w:val="0"/>
                <w:sz w:val="24"/>
              </w:rPr>
            </w:pPr>
            <w:r>
              <w:t>Jos toimivaltainen viranomainen ei ole ilmoittanut P2G:tä, ilmoitetaan ainoastaan i alakohdan tiedot.</w:t>
            </w:r>
          </w:p>
        </w:tc>
      </w:tr>
      <w:tr w:rsidR="00CC7D2C" w:rsidRPr="002A677E" w14:paraId="06764FAD" w14:textId="77777777" w:rsidTr="00822842">
        <w:tc>
          <w:tcPr>
            <w:tcW w:w="1163" w:type="dxa"/>
          </w:tcPr>
          <w:p w14:paraId="62AC91C1" w14:textId="77777777" w:rsidR="00CC7D2C" w:rsidRPr="002A677E" w:rsidRDefault="00CC7D2C" w:rsidP="00320EFD">
            <w:pPr>
              <w:pStyle w:val="InstructionsText"/>
            </w:pPr>
            <w:r>
              <w:t>0210</w:t>
            </w:r>
          </w:p>
        </w:tc>
        <w:tc>
          <w:tcPr>
            <w:tcW w:w="7620" w:type="dxa"/>
          </w:tcPr>
          <w:p w14:paraId="1160959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Pr>
                <w:rStyle w:val="InstructionsTabelleberschrift"/>
                <w:rFonts w:ascii="Times New Roman" w:hAnsi="Times New Roman"/>
                <w:sz w:val="24"/>
              </w:rPr>
              <w:tab/>
              <w:t xml:space="preserve">OCR ja P2G: ensisijaisesta pääomasta (T1) muodostettava </w:t>
            </w:r>
          </w:p>
          <w:p w14:paraId="4156D090" w14:textId="77777777" w:rsidR="00CC7D2C" w:rsidRPr="002A677E" w:rsidRDefault="00CC7D2C" w:rsidP="00320EFD">
            <w:pPr>
              <w:pStyle w:val="InstructionsText"/>
            </w:pPr>
            <w:r>
              <w:t>Jäljempänä olevien i ja ii alakohdan summa:</w:t>
            </w:r>
          </w:p>
          <w:p w14:paraId="3A8C0BF0" w14:textId="77777777" w:rsidR="00CC7D2C" w:rsidRPr="002A677E" w:rsidRDefault="00CC7D2C" w:rsidP="00320EFD">
            <w:pPr>
              <w:pStyle w:val="InstructionsText"/>
              <w:numPr>
                <w:ilvl w:val="0"/>
                <w:numId w:val="27"/>
              </w:numPr>
            </w:pPr>
            <w:r>
              <w:t>rivillä 0180 tarkoitettu ensisijaisesta pääomasta (T1) muodostettava OCR-suhde;</w:t>
            </w:r>
          </w:p>
          <w:p w14:paraId="29B2D80C" w14:textId="77777777" w:rsidR="00CC7D2C" w:rsidRPr="002A677E" w:rsidRDefault="00CC7D2C" w:rsidP="00320EFD">
            <w:pPr>
              <w:pStyle w:val="InstructionsText"/>
              <w:numPr>
                <w:ilvl w:val="0"/>
                <w:numId w:val="27"/>
              </w:numPr>
            </w:pPr>
            <w:r>
              <w:t>jos sovellettavissa, se osa riviä 0190 koskevien ohjeiden ii alakohdassa tarkoitettua P2G:tä, jonka toimivaltainen viranomainen vaatii pidettävän ensisijaisen pääoman (T1) muodossa. P2G otetaan mukaan vain, jos toimivaltainen viranomainen on ilmoittanut sen laitokselle.</w:t>
            </w:r>
          </w:p>
          <w:p w14:paraId="4D170060" w14:textId="77777777" w:rsidR="00CC7D2C" w:rsidRPr="002A677E" w:rsidRDefault="00CC7D2C" w:rsidP="00320EFD">
            <w:pPr>
              <w:pStyle w:val="InstructionsText"/>
              <w:rPr>
                <w:rStyle w:val="InstructionsTabelleberschrift"/>
                <w:rFonts w:ascii="Times New Roman" w:hAnsi="Times New Roman"/>
                <w:b w:val="0"/>
                <w:bCs w:val="0"/>
                <w:sz w:val="24"/>
                <w:u w:val="none"/>
              </w:rPr>
            </w:pPr>
            <w:r>
              <w:t>Jos toimivaltainen viranomainen ei ole ilmoittanut P2G:tä, ilmoitetaan ainoastaan i alakohdan tiedot.</w:t>
            </w:r>
            <w:r>
              <w:rPr>
                <w:rStyle w:val="InstructionsTabelleberschrift"/>
                <w:rFonts w:ascii="Times New Roman" w:hAnsi="Times New Roman"/>
                <w:b w:val="0"/>
                <w:sz w:val="24"/>
              </w:rPr>
              <w:t xml:space="preserve"> </w:t>
            </w:r>
          </w:p>
        </w:tc>
      </w:tr>
      <w:tr w:rsidR="00CC7D2C" w:rsidRPr="002A677E" w14:paraId="75DAADC0" w14:textId="77777777" w:rsidTr="00822842">
        <w:tc>
          <w:tcPr>
            <w:tcW w:w="1163" w:type="dxa"/>
          </w:tcPr>
          <w:p w14:paraId="03DB4970" w14:textId="77777777" w:rsidR="00CC7D2C" w:rsidRPr="002A677E" w:rsidRDefault="00CC7D2C" w:rsidP="00320EFD">
            <w:pPr>
              <w:pStyle w:val="InstructionsText"/>
            </w:pPr>
            <w:r>
              <w:t>0220</w:t>
            </w:r>
          </w:p>
        </w:tc>
        <w:tc>
          <w:tcPr>
            <w:tcW w:w="7620" w:type="dxa"/>
          </w:tcPr>
          <w:p w14:paraId="0E9CF9E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Ydinpääoman (CET1) ylijäämä(</w:t>
            </w:r>
            <w:proofErr w:type="gramStart"/>
            <w:r>
              <w:rPr>
                <w:rStyle w:val="InstructionsTabelleberschrift"/>
                <w:rFonts w:ascii="Times New Roman" w:hAnsi="Times New Roman"/>
                <w:sz w:val="24"/>
              </w:rPr>
              <w:t>+)/</w:t>
            </w:r>
            <w:proofErr w:type="gramEnd"/>
            <w:r>
              <w:rPr>
                <w:rStyle w:val="InstructionsTabelleberschrift"/>
                <w:rFonts w:ascii="Times New Roman" w:hAnsi="Times New Roman"/>
                <w:sz w:val="24"/>
              </w:rPr>
              <w:t>alijäämä(-) ottaen huomioon asetuksen (EU) N:o 575/2013 92 artiklan ja direktiivin 2013/36/EU 104 a artiklan vaatimukset</w:t>
            </w:r>
          </w:p>
          <w:p w14:paraId="372BA67A" w14:textId="77777777" w:rsidR="00CC7D2C" w:rsidRPr="002A677E" w:rsidRDefault="00CC7D2C" w:rsidP="00320EFD">
            <w:pPr>
              <w:pStyle w:val="InstructionsText"/>
            </w:pPr>
            <w:r>
              <w:t xml:space="preserve">Tässä kohdassa esitetään absoluuttisina lukuina asetuksen (EU) N:o 575/2013 92 artiklan 1 kohdan a alakohdassa ja direktiivin 2013/36/EU 104 a artiklassa asetettuun vaatimukseen (4,5 %) liittyvä ydinpääoman (CET1) ylijäämän tai alijäämän määrä – lukuun ottamatta kyseisen artiklan 3 kohdan nojalla vaadittuja täydentäviä omia varoja ylivelkaantumisriskin hallitsemiseksi – siltä osin kuin kyseisen direktiivin </w:t>
            </w:r>
            <w:r>
              <w:lastRenderedPageBreak/>
              <w:t>104 a artiklan vaatimus on täytettävä ydinpääomalla (CET1). Jos laitoksen on käytettävä asetuksen (EU) N:o 575/2013 92 artiklan 1 kohdan b ja/tai c alakohdan ja/tai direktiivin 2013/36/EU 104 a artiklan mukaisten vaatimusten täyttämiseksi enemmän ydinpääomaansa (CET1) kuin sitä on käytettävä vaatimusten täyttämiseksi, ilmoitetussa ylijäämässä tai alijäämässä on otettava tämä huomioon.</w:t>
            </w:r>
          </w:p>
          <w:p w14:paraId="209E5975" w14:textId="77777777" w:rsidR="00CC7D2C" w:rsidRPr="002A677E" w:rsidRDefault="00CC7D2C" w:rsidP="00320EFD">
            <w:pPr>
              <w:pStyle w:val="InstructionsText"/>
              <w:rPr>
                <w:rStyle w:val="InstructionsTabelleberschrift"/>
                <w:rFonts w:ascii="Times New Roman" w:hAnsi="Times New Roman"/>
                <w:sz w:val="24"/>
              </w:rPr>
            </w:pPr>
            <w:r>
              <w:t>Tämä määrä kuvastaa sitä ydinpääoman (CET1) määrää, joka on käytettävissä yhteenlasketun puskurivaatimuksen ja muiden vaatimusten täyttämiseksi.</w:t>
            </w:r>
          </w:p>
        </w:tc>
      </w:tr>
      <w:tr w:rsidR="00CC7D2C" w:rsidRPr="009A3DD3" w14:paraId="134193DA" w14:textId="77777777" w:rsidTr="00822842">
        <w:tc>
          <w:tcPr>
            <w:tcW w:w="1163" w:type="dxa"/>
          </w:tcPr>
          <w:p w14:paraId="6F26DDB0" w14:textId="77777777" w:rsidR="00CC7D2C" w:rsidRPr="009A3DD3" w:rsidRDefault="00CC7D2C" w:rsidP="00822842">
            <w:pPr>
              <w:rPr>
                <w:rFonts w:ascii="Times New Roman" w:hAnsi="Times New Roman"/>
                <w:sz w:val="24"/>
              </w:rPr>
            </w:pPr>
            <w:r>
              <w:rPr>
                <w:rFonts w:ascii="Times New Roman" w:hAnsi="Times New Roman"/>
                <w:sz w:val="24"/>
              </w:rPr>
              <w:lastRenderedPageBreak/>
              <w:t>0330</w:t>
            </w:r>
          </w:p>
        </w:tc>
        <w:tc>
          <w:tcPr>
            <w:tcW w:w="7620" w:type="dxa"/>
          </w:tcPr>
          <w:p w14:paraId="4113A266" w14:textId="77777777" w:rsidR="00CC7D2C" w:rsidRPr="009A3DD3" w:rsidRDefault="00CC7D2C" w:rsidP="00822842">
            <w:pPr>
              <w:rPr>
                <w:rFonts w:ascii="Times New Roman" w:hAnsi="Times New Roman"/>
                <w:b/>
                <w:bCs/>
                <w:sz w:val="24"/>
                <w:u w:val="single"/>
              </w:rPr>
            </w:pPr>
            <w:r>
              <w:rPr>
                <w:rFonts w:ascii="Times New Roman" w:hAnsi="Times New Roman"/>
                <w:b/>
                <w:sz w:val="24"/>
                <w:u w:val="single"/>
              </w:rPr>
              <w:t xml:space="preserve">Täysimääräisten vaatimusten mukainen ydinvakavaraisuussuhde (CET1) </w:t>
            </w:r>
          </w:p>
          <w:p w14:paraId="2949E777" w14:textId="77777777" w:rsidR="00CC7D2C" w:rsidRPr="009A3DD3" w:rsidRDefault="00CC7D2C" w:rsidP="00822842">
            <w:pPr>
              <w:rPr>
                <w:rFonts w:ascii="Times New Roman" w:hAnsi="Times New Roman"/>
                <w:sz w:val="24"/>
              </w:rPr>
            </w:pPr>
            <w:r>
              <w:rPr>
                <w:rFonts w:ascii="Times New Roman" w:hAnsi="Times New Roman"/>
                <w:sz w:val="24"/>
              </w:rPr>
              <w:t>Asetuksen (EU) N:o 575/2013 92 artiklan 2 kohdan a alakohta soveltamatta kyseisen asetuksen 465 artiklaa.</w:t>
            </w:r>
          </w:p>
        </w:tc>
      </w:tr>
      <w:tr w:rsidR="00CC7D2C" w:rsidRPr="009A3DD3" w14:paraId="12FA81D8" w14:textId="77777777" w:rsidTr="00822842">
        <w:tc>
          <w:tcPr>
            <w:tcW w:w="1163" w:type="dxa"/>
          </w:tcPr>
          <w:p w14:paraId="55D1E0F2" w14:textId="77777777" w:rsidR="00CC7D2C" w:rsidRPr="009A3DD3" w:rsidRDefault="00CC7D2C" w:rsidP="00822842">
            <w:pPr>
              <w:rPr>
                <w:rFonts w:ascii="Times New Roman" w:hAnsi="Times New Roman"/>
                <w:sz w:val="24"/>
              </w:rPr>
            </w:pPr>
            <w:r>
              <w:rPr>
                <w:rFonts w:ascii="Times New Roman" w:hAnsi="Times New Roman"/>
                <w:sz w:val="24"/>
              </w:rPr>
              <w:t>0340</w:t>
            </w:r>
          </w:p>
        </w:tc>
        <w:tc>
          <w:tcPr>
            <w:tcW w:w="7620" w:type="dxa"/>
          </w:tcPr>
          <w:p w14:paraId="6FAF7A14" w14:textId="77777777" w:rsidR="00CC7D2C" w:rsidRPr="009A3DD3" w:rsidRDefault="00CC7D2C" w:rsidP="00822842">
            <w:pPr>
              <w:rPr>
                <w:rFonts w:ascii="Times New Roman" w:hAnsi="Times New Roman"/>
                <w:b/>
                <w:bCs/>
                <w:sz w:val="24"/>
                <w:u w:val="single"/>
              </w:rPr>
            </w:pPr>
            <w:r>
              <w:rPr>
                <w:rFonts w:ascii="Times New Roman" w:hAnsi="Times New Roman"/>
                <w:b/>
                <w:sz w:val="24"/>
                <w:u w:val="single"/>
              </w:rPr>
              <w:t xml:space="preserve">Täysimääräisten vaatimusten mukainen vakavaraisuussuhde ensisijaisella pääomalla (T1) </w:t>
            </w:r>
          </w:p>
          <w:p w14:paraId="39EB4D1F" w14:textId="77777777" w:rsidR="00CC7D2C" w:rsidRPr="009A3DD3" w:rsidRDefault="00CC7D2C" w:rsidP="00822842">
            <w:pPr>
              <w:rPr>
                <w:rFonts w:ascii="Times New Roman" w:hAnsi="Times New Roman"/>
                <w:sz w:val="24"/>
              </w:rPr>
            </w:pPr>
            <w:r>
              <w:rPr>
                <w:rFonts w:ascii="Times New Roman" w:hAnsi="Times New Roman"/>
                <w:sz w:val="24"/>
              </w:rPr>
              <w:t>Asetuksen (EU) N:o 575/2013 92 artiklan 2 kohdan b alakohta soveltamatta kyseisen asetuksen 465 artiklaa.</w:t>
            </w:r>
          </w:p>
        </w:tc>
      </w:tr>
      <w:tr w:rsidR="00CC7D2C" w:rsidRPr="009A3DD3" w14:paraId="43102FE5" w14:textId="77777777" w:rsidTr="00822842">
        <w:tc>
          <w:tcPr>
            <w:tcW w:w="1163" w:type="dxa"/>
          </w:tcPr>
          <w:p w14:paraId="2F53FE4E" w14:textId="77777777" w:rsidR="00CC7D2C" w:rsidRPr="009A3DD3" w:rsidRDefault="00CC7D2C" w:rsidP="00822842">
            <w:pPr>
              <w:rPr>
                <w:rFonts w:ascii="Times New Roman" w:hAnsi="Times New Roman"/>
                <w:sz w:val="24"/>
              </w:rPr>
            </w:pPr>
            <w:r>
              <w:rPr>
                <w:rFonts w:ascii="Times New Roman" w:hAnsi="Times New Roman"/>
                <w:sz w:val="24"/>
              </w:rPr>
              <w:t>0350</w:t>
            </w:r>
          </w:p>
        </w:tc>
        <w:tc>
          <w:tcPr>
            <w:tcW w:w="7620" w:type="dxa"/>
          </w:tcPr>
          <w:p w14:paraId="444FD113" w14:textId="77777777" w:rsidR="00CC7D2C" w:rsidRPr="009A3DD3" w:rsidRDefault="00CC7D2C" w:rsidP="00822842">
            <w:pPr>
              <w:rPr>
                <w:rFonts w:ascii="Times New Roman" w:hAnsi="Times New Roman"/>
                <w:b/>
                <w:bCs/>
                <w:sz w:val="24"/>
                <w:u w:val="single"/>
              </w:rPr>
            </w:pPr>
            <w:r>
              <w:rPr>
                <w:rFonts w:ascii="Times New Roman" w:hAnsi="Times New Roman"/>
                <w:b/>
                <w:sz w:val="24"/>
                <w:u w:val="single"/>
              </w:rPr>
              <w:t xml:space="preserve">Täysimääräisten vaatimusten mukainen kokonaisvakavaraisuussuhde </w:t>
            </w:r>
          </w:p>
          <w:p w14:paraId="45149E78" w14:textId="77777777" w:rsidR="00CC7D2C" w:rsidRPr="009A3DD3" w:rsidRDefault="00CC7D2C" w:rsidP="00822842">
            <w:pPr>
              <w:rPr>
                <w:rFonts w:ascii="Times New Roman" w:hAnsi="Times New Roman"/>
                <w:sz w:val="24"/>
              </w:rPr>
            </w:pPr>
            <w:r>
              <w:rPr>
                <w:rFonts w:ascii="Times New Roman" w:hAnsi="Times New Roman"/>
                <w:sz w:val="24"/>
              </w:rPr>
              <w:t>Asetuksen (EU) N:o 575/2013 92 artiklan 2 kohdan c alakohta soveltamatta kyseisen asetuksen 465 artiklaa.</w:t>
            </w:r>
          </w:p>
        </w:tc>
      </w:tr>
      <w:tr w:rsidR="00CC7D2C" w:rsidRPr="009A3DD3" w14:paraId="791CEE7E" w14:textId="77777777" w:rsidTr="00822842">
        <w:tc>
          <w:tcPr>
            <w:tcW w:w="1163" w:type="dxa"/>
          </w:tcPr>
          <w:p w14:paraId="5F0A36E9" w14:textId="77777777" w:rsidR="00CC7D2C" w:rsidRPr="009A3DD3" w:rsidRDefault="00CC7D2C" w:rsidP="00822842">
            <w:pPr>
              <w:rPr>
                <w:rFonts w:ascii="Times New Roman" w:hAnsi="Times New Roman"/>
                <w:sz w:val="24"/>
              </w:rPr>
            </w:pPr>
            <w:r>
              <w:rPr>
                <w:rFonts w:ascii="Times New Roman" w:hAnsi="Times New Roman"/>
                <w:sz w:val="24"/>
              </w:rPr>
              <w:t>0360</w:t>
            </w:r>
          </w:p>
        </w:tc>
        <w:tc>
          <w:tcPr>
            <w:tcW w:w="7620" w:type="dxa"/>
          </w:tcPr>
          <w:p w14:paraId="25E976DE" w14:textId="24CEB3B4" w:rsidR="00CC7D2C" w:rsidRPr="009A3DD3" w:rsidRDefault="00CC7D2C" w:rsidP="00822842">
            <w:pPr>
              <w:rPr>
                <w:rFonts w:ascii="Times New Roman" w:hAnsi="Times New Roman"/>
                <w:b/>
                <w:bCs/>
                <w:sz w:val="24"/>
                <w:u w:val="single"/>
              </w:rPr>
            </w:pPr>
            <w:r>
              <w:rPr>
                <w:rFonts w:ascii="Times New Roman" w:hAnsi="Times New Roman"/>
                <w:b/>
                <w:sz w:val="24"/>
                <w:u w:val="single"/>
              </w:rPr>
              <w:t xml:space="preserve">Ydinvakavaraisuussuhde (CET1) ilman </w:t>
            </w:r>
            <w:proofErr w:type="spellStart"/>
            <w:r>
              <w:rPr>
                <w:rFonts w:ascii="Times New Roman" w:hAnsi="Times New Roman"/>
                <w:b/>
                <w:sz w:val="24"/>
                <w:u w:val="single"/>
              </w:rPr>
              <w:t>S-TREA:n</w:t>
            </w:r>
            <w:proofErr w:type="spellEnd"/>
            <w:r>
              <w:rPr>
                <w:rFonts w:ascii="Times New Roman" w:hAnsi="Times New Roman"/>
                <w:b/>
                <w:sz w:val="24"/>
                <w:u w:val="single"/>
              </w:rPr>
              <w:t xml:space="preserve"> kokonaisriskipainolattiaa koskevien siirtymäsäännösten soveltamista (asetuksen (EU) N:o 575/2013 465 artiklan 3, 4, 5 ja 7 kohta)</w:t>
            </w:r>
          </w:p>
          <w:p w14:paraId="0881DD8C" w14:textId="551C71D4" w:rsidR="00CC7D2C" w:rsidRPr="009A3DD3" w:rsidRDefault="00CC7D2C" w:rsidP="00822842">
            <w:pPr>
              <w:rPr>
                <w:rFonts w:ascii="Times New Roman" w:hAnsi="Times New Roman"/>
                <w:sz w:val="24"/>
              </w:rPr>
            </w:pPr>
            <w:r>
              <w:rPr>
                <w:rFonts w:ascii="Times New Roman" w:hAnsi="Times New Roman"/>
                <w:sz w:val="24"/>
              </w:rPr>
              <w:t>Asetuksen (EU) N:o 575/2013 92 artiklan 2 kohdan a alakohta soveltamatta kyseisen asetuksen 465 artiklan 3, 4, 5 ja 7 kohtaa.</w:t>
            </w:r>
          </w:p>
        </w:tc>
      </w:tr>
      <w:tr w:rsidR="00CC7D2C" w:rsidRPr="009A3DD3" w14:paraId="401A905E" w14:textId="77777777" w:rsidTr="00822842">
        <w:tc>
          <w:tcPr>
            <w:tcW w:w="1163" w:type="dxa"/>
          </w:tcPr>
          <w:p w14:paraId="65F63F2C" w14:textId="77777777" w:rsidR="00CC7D2C" w:rsidRPr="009A3DD3" w:rsidRDefault="00CC7D2C" w:rsidP="00822842">
            <w:pPr>
              <w:rPr>
                <w:rFonts w:ascii="Times New Roman" w:hAnsi="Times New Roman"/>
                <w:sz w:val="24"/>
              </w:rPr>
            </w:pPr>
            <w:r>
              <w:rPr>
                <w:rFonts w:ascii="Times New Roman" w:hAnsi="Times New Roman"/>
                <w:sz w:val="24"/>
              </w:rPr>
              <w:t>0370</w:t>
            </w:r>
          </w:p>
        </w:tc>
        <w:tc>
          <w:tcPr>
            <w:tcW w:w="7620" w:type="dxa"/>
          </w:tcPr>
          <w:p w14:paraId="32E26E4D" w14:textId="28D0D476" w:rsidR="00CC7D2C" w:rsidRPr="009A3DD3" w:rsidRDefault="00CC7D2C" w:rsidP="00822842">
            <w:pPr>
              <w:rPr>
                <w:rFonts w:ascii="Times New Roman" w:hAnsi="Times New Roman"/>
                <w:b/>
                <w:bCs/>
                <w:sz w:val="24"/>
                <w:u w:val="single"/>
              </w:rPr>
            </w:pPr>
            <w:r>
              <w:rPr>
                <w:rFonts w:ascii="Times New Roman" w:hAnsi="Times New Roman"/>
                <w:b/>
                <w:sz w:val="24"/>
                <w:u w:val="single"/>
              </w:rPr>
              <w:t xml:space="preserve">Vakavaraisuussuhde ensisijaisella pääomalla (T1) ilman </w:t>
            </w:r>
            <w:proofErr w:type="spellStart"/>
            <w:r>
              <w:rPr>
                <w:rFonts w:ascii="Times New Roman" w:hAnsi="Times New Roman"/>
                <w:b/>
                <w:sz w:val="24"/>
                <w:u w:val="single"/>
              </w:rPr>
              <w:t>S-TREA:n</w:t>
            </w:r>
            <w:proofErr w:type="spellEnd"/>
            <w:r>
              <w:rPr>
                <w:rFonts w:ascii="Times New Roman" w:hAnsi="Times New Roman"/>
                <w:b/>
                <w:sz w:val="24"/>
                <w:u w:val="single"/>
              </w:rPr>
              <w:t xml:space="preserve"> kokonaisriskipainolattiaa koskevien siirtymäsäännösten soveltamista (asetuksen (EU) N:o 575/2013 465 artiklan 3, 4, 5 ja 7 kohta)</w:t>
            </w:r>
          </w:p>
          <w:p w14:paraId="33AE485B" w14:textId="77A464ED" w:rsidR="00CC7D2C" w:rsidRPr="009A3DD3" w:rsidRDefault="00CC7D2C" w:rsidP="00822842">
            <w:pPr>
              <w:rPr>
                <w:rFonts w:ascii="Times New Roman" w:hAnsi="Times New Roman"/>
                <w:sz w:val="24"/>
              </w:rPr>
            </w:pPr>
            <w:r>
              <w:rPr>
                <w:rFonts w:ascii="Times New Roman" w:hAnsi="Times New Roman"/>
                <w:sz w:val="24"/>
              </w:rPr>
              <w:t>Asetuksen (EU) N:o 575/2013 92 artiklan 2 kohdan b alakohta soveltamatta kyseisen asetuksen 465 artiklan 3, 4, 5 ja 7 kohtaa.</w:t>
            </w:r>
          </w:p>
        </w:tc>
      </w:tr>
      <w:tr w:rsidR="00CC7D2C" w:rsidRPr="009A3DD3" w14:paraId="3606F55E" w14:textId="77777777" w:rsidTr="00822842">
        <w:tc>
          <w:tcPr>
            <w:tcW w:w="1163" w:type="dxa"/>
          </w:tcPr>
          <w:p w14:paraId="562140A9" w14:textId="77777777" w:rsidR="00CC7D2C" w:rsidRPr="009A3DD3" w:rsidRDefault="00CC7D2C" w:rsidP="00822842">
            <w:pPr>
              <w:rPr>
                <w:rFonts w:ascii="Times New Roman" w:hAnsi="Times New Roman"/>
                <w:sz w:val="24"/>
              </w:rPr>
            </w:pPr>
            <w:r>
              <w:rPr>
                <w:rFonts w:ascii="Times New Roman" w:hAnsi="Times New Roman"/>
                <w:sz w:val="24"/>
              </w:rPr>
              <w:t>0380</w:t>
            </w:r>
          </w:p>
        </w:tc>
        <w:tc>
          <w:tcPr>
            <w:tcW w:w="7620" w:type="dxa"/>
          </w:tcPr>
          <w:p w14:paraId="54BA7D6B" w14:textId="6E738510" w:rsidR="00CC7D2C" w:rsidRPr="009A3DD3" w:rsidRDefault="00CC7D2C" w:rsidP="00822842">
            <w:pPr>
              <w:rPr>
                <w:rFonts w:ascii="Times New Roman" w:hAnsi="Times New Roman"/>
                <w:b/>
                <w:bCs/>
                <w:sz w:val="24"/>
                <w:u w:val="single"/>
              </w:rPr>
            </w:pPr>
            <w:r>
              <w:rPr>
                <w:rFonts w:ascii="Times New Roman" w:hAnsi="Times New Roman"/>
                <w:b/>
                <w:sz w:val="24"/>
                <w:u w:val="single"/>
              </w:rPr>
              <w:t xml:space="preserve">Kokonaisvakavaraisuussuhde ilman </w:t>
            </w:r>
            <w:proofErr w:type="spellStart"/>
            <w:r>
              <w:rPr>
                <w:rFonts w:ascii="Times New Roman" w:hAnsi="Times New Roman"/>
                <w:b/>
                <w:sz w:val="24"/>
                <w:u w:val="single"/>
              </w:rPr>
              <w:t>S-TREA:n</w:t>
            </w:r>
            <w:proofErr w:type="spellEnd"/>
            <w:r>
              <w:rPr>
                <w:rFonts w:ascii="Times New Roman" w:hAnsi="Times New Roman"/>
                <w:b/>
                <w:sz w:val="24"/>
                <w:u w:val="single"/>
              </w:rPr>
              <w:t xml:space="preserve"> kokonaisriskipainolattiaa koskevien siirtymäsäännösten soveltamista (asetuksen (EU) N:o 575/2013 465 artiklan 3, 4, 5 ja 7 kohta)</w:t>
            </w:r>
          </w:p>
          <w:p w14:paraId="116A4C8A" w14:textId="03344BD5" w:rsidR="00CC7D2C" w:rsidRPr="009A3DD3" w:rsidRDefault="00CC7D2C" w:rsidP="00822842">
            <w:pPr>
              <w:rPr>
                <w:rFonts w:ascii="Times New Roman" w:hAnsi="Times New Roman"/>
                <w:sz w:val="24"/>
              </w:rPr>
            </w:pPr>
            <w:r>
              <w:rPr>
                <w:rFonts w:ascii="Times New Roman" w:hAnsi="Times New Roman"/>
                <w:sz w:val="24"/>
              </w:rPr>
              <w:t>Asetuksen (EU) N:o 575/2013 92 artiklan 2 kohdan c alakohta soveltamatta kyseisen asetuksen 465 artiklan 3, 4, 5 ja 7 kohtaa.</w:t>
            </w:r>
          </w:p>
        </w:tc>
      </w:tr>
    </w:tbl>
    <w:p w14:paraId="43FFE992" w14:textId="77777777" w:rsidR="00CC7D2C" w:rsidRPr="002A677E" w:rsidRDefault="00CC7D2C" w:rsidP="00320EFD">
      <w:pPr>
        <w:pStyle w:val="InstructionsText"/>
      </w:pPr>
    </w:p>
    <w:p w14:paraId="4BB05863" w14:textId="77777777" w:rsidR="00CC7D2C" w:rsidRPr="002A677E" w:rsidRDefault="00CC7D2C" w:rsidP="00D1404A">
      <w:pPr>
        <w:pStyle w:val="Instructionsberschrift2"/>
        <w:numPr>
          <w:ilvl w:val="0"/>
          <w:numId w:val="0"/>
        </w:numPr>
        <w:ind w:left="357" w:hanging="357"/>
      </w:pPr>
      <w:bookmarkStart w:id="37" w:name="_Toc473560879"/>
      <w:bookmarkStart w:id="38" w:name="_Toc151714367"/>
      <w:bookmarkStart w:id="39" w:name="_Toc308175830"/>
      <w:bookmarkStart w:id="40" w:name="_Toc360188331"/>
      <w:r>
        <w:rPr>
          <w:u w:val="none"/>
        </w:rPr>
        <w:t>1.5.</w:t>
      </w:r>
      <w:r>
        <w:rPr>
          <w:u w:val="none"/>
        </w:rPr>
        <w:tab/>
      </w:r>
      <w:r>
        <w:t>C 04.00 – LISÄTIETOERÄT (CA4)</w:t>
      </w:r>
      <w:bookmarkEnd w:id="37"/>
      <w:bookmarkEnd w:id="38"/>
      <w:r>
        <w:t xml:space="preserve"> </w:t>
      </w:r>
      <w:bookmarkEnd w:id="39"/>
      <w:bookmarkEnd w:id="40"/>
    </w:p>
    <w:p w14:paraId="473B9958" w14:textId="77777777" w:rsidR="00CC7D2C" w:rsidRPr="002A677E" w:rsidRDefault="00CC7D2C" w:rsidP="00D1404A">
      <w:pPr>
        <w:pStyle w:val="Instructionsberschrift2"/>
        <w:numPr>
          <w:ilvl w:val="0"/>
          <w:numId w:val="0"/>
        </w:numPr>
        <w:ind w:left="357" w:hanging="357"/>
      </w:pPr>
      <w:bookmarkStart w:id="41" w:name="_Toc308175831"/>
      <w:bookmarkStart w:id="42" w:name="_Toc310414974"/>
      <w:bookmarkStart w:id="43" w:name="_Toc360188332"/>
      <w:bookmarkStart w:id="44" w:name="_Toc473560880"/>
      <w:bookmarkStart w:id="45" w:name="_Toc151714368"/>
      <w:r>
        <w:rPr>
          <w:u w:val="none"/>
        </w:rPr>
        <w:t>1.5.1.</w:t>
      </w:r>
      <w:r>
        <w:rPr>
          <w:u w:val="none"/>
        </w:rPr>
        <w:tab/>
      </w:r>
      <w:r>
        <w:t>Positiokohtaiset ohjeet</w:t>
      </w:r>
      <w:bookmarkEnd w:id="41"/>
      <w:bookmarkEnd w:id="42"/>
      <w:bookmarkEnd w:id="43"/>
      <w:bookmarkEnd w:id="44"/>
      <w:bookmarkEnd w:id="45"/>
    </w:p>
    <w:p w14:paraId="54769477" w14:textId="77777777" w:rsidR="00CC7D2C" w:rsidRPr="002A677E" w:rsidRDefault="00CC7D2C" w:rsidP="00320EFD">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9"/>
        <w:gridCol w:w="7008"/>
      </w:tblGrid>
      <w:tr w:rsidR="00CC7D2C" w:rsidRPr="002A677E" w14:paraId="4FB1FB7D" w14:textId="77777777" w:rsidTr="00822842">
        <w:tc>
          <w:tcPr>
            <w:tcW w:w="8523" w:type="dxa"/>
            <w:gridSpan w:val="2"/>
            <w:shd w:val="clear" w:color="auto" w:fill="D9D9D9"/>
          </w:tcPr>
          <w:p w14:paraId="642A8EB7" w14:textId="77777777" w:rsidR="00CC7D2C" w:rsidRPr="002A677E" w:rsidRDefault="00CC7D2C" w:rsidP="00320EFD">
            <w:pPr>
              <w:pStyle w:val="InstructionsText"/>
            </w:pPr>
            <w:r>
              <w:lastRenderedPageBreak/>
              <w:t>Rivit</w:t>
            </w:r>
          </w:p>
        </w:tc>
      </w:tr>
      <w:tr w:rsidR="00CC7D2C" w:rsidRPr="002A677E" w14:paraId="68CF0504" w14:textId="77777777" w:rsidTr="00822842">
        <w:tc>
          <w:tcPr>
            <w:tcW w:w="1474" w:type="dxa"/>
          </w:tcPr>
          <w:p w14:paraId="7A09D1A8" w14:textId="77777777" w:rsidR="00CC7D2C" w:rsidRPr="002A677E" w:rsidRDefault="00CC7D2C" w:rsidP="00320EFD">
            <w:pPr>
              <w:pStyle w:val="InstructionsText"/>
            </w:pPr>
            <w:r>
              <w:t>0010</w:t>
            </w:r>
          </w:p>
        </w:tc>
        <w:tc>
          <w:tcPr>
            <w:tcW w:w="7049" w:type="dxa"/>
          </w:tcPr>
          <w:p w14:paraId="65BD25C5" w14:textId="77777777" w:rsidR="00CC7D2C" w:rsidRPr="002A677E" w:rsidRDefault="00CC7D2C" w:rsidP="00320EFD">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Laskennalliset verosaamiset yhteensä</w:t>
            </w:r>
          </w:p>
          <w:p w14:paraId="245EEDA1" w14:textId="77777777" w:rsidR="00CC7D2C" w:rsidRPr="002A677E" w:rsidRDefault="00CC7D2C" w:rsidP="00320EFD">
            <w:pPr>
              <w:pStyle w:val="InstructionsText"/>
            </w:pPr>
            <w:r>
              <w:t>Tässä kohdassa ilmoitettavan määrän on oltava sama kuin viimeisimmän verifioidun/tilintarkastetun tilinpäätöksen taseessa.</w:t>
            </w:r>
          </w:p>
        </w:tc>
      </w:tr>
      <w:tr w:rsidR="00CC7D2C" w:rsidRPr="002A677E" w14:paraId="6A0E9EA3" w14:textId="77777777" w:rsidTr="00822842">
        <w:tc>
          <w:tcPr>
            <w:tcW w:w="1474" w:type="dxa"/>
          </w:tcPr>
          <w:p w14:paraId="690047E3" w14:textId="77777777" w:rsidR="00CC7D2C" w:rsidRPr="002A677E" w:rsidRDefault="00CC7D2C" w:rsidP="00320EFD">
            <w:pPr>
              <w:pStyle w:val="InstructionsText"/>
            </w:pPr>
            <w:r>
              <w:t>0020</w:t>
            </w:r>
          </w:p>
        </w:tc>
        <w:tc>
          <w:tcPr>
            <w:tcW w:w="7049" w:type="dxa"/>
          </w:tcPr>
          <w:p w14:paraId="4AD2BCB6" w14:textId="77777777" w:rsidR="00CC7D2C" w:rsidRPr="002A677E" w:rsidRDefault="00CC7D2C" w:rsidP="00320EFD">
            <w:pPr>
              <w:pStyle w:val="InstructionsText"/>
            </w:pPr>
            <w:r>
              <w:rPr>
                <w:rStyle w:val="InstructionsTabelleberschrift"/>
                <w:rFonts w:ascii="Times New Roman" w:hAnsi="Times New Roman"/>
                <w:sz w:val="24"/>
              </w:rPr>
              <w:t>1.1</w:t>
            </w:r>
            <w:r>
              <w:rPr>
                <w:rStyle w:val="InstructionsTabelleberschrift"/>
                <w:rFonts w:ascii="Times New Roman" w:hAnsi="Times New Roman"/>
                <w:sz w:val="24"/>
              </w:rPr>
              <w:tab/>
              <w:t>Tulevista veronalaisista voitoista riippumattomat laskennalliset verosaamiset</w:t>
            </w:r>
          </w:p>
          <w:p w14:paraId="119E6584" w14:textId="77777777" w:rsidR="00CC7D2C" w:rsidRPr="002A677E" w:rsidRDefault="00CC7D2C" w:rsidP="00320EFD">
            <w:pPr>
              <w:pStyle w:val="InstructionsText"/>
            </w:pPr>
            <w:r>
              <w:t>Asetuksen (EU) N:o 575/2013 39 artiklan 2 kohta</w:t>
            </w:r>
          </w:p>
          <w:p w14:paraId="04A932CD" w14:textId="77777777" w:rsidR="00CC7D2C" w:rsidRPr="002A677E" w:rsidRDefault="00CC7D2C" w:rsidP="00320EFD">
            <w:pPr>
              <w:pStyle w:val="InstructionsText"/>
            </w:pPr>
            <w:r>
              <w:t>Tässä tarkoitetaan ennen 23 päivää marraskuuta 2016 syntyneitä laskennallisia verosaamisia, jotka eivät riipu tulevista veronalaisista voitoista ja joihin näin ollen sovelletaan riskipainoa.</w:t>
            </w:r>
          </w:p>
        </w:tc>
      </w:tr>
      <w:tr w:rsidR="00CC7D2C" w:rsidRPr="002A677E" w14:paraId="2F7B8C1E" w14:textId="77777777" w:rsidTr="00822842">
        <w:tc>
          <w:tcPr>
            <w:tcW w:w="1474" w:type="dxa"/>
          </w:tcPr>
          <w:p w14:paraId="4DE8CDF2" w14:textId="77777777" w:rsidR="00CC7D2C" w:rsidRPr="002A677E" w:rsidRDefault="00CC7D2C" w:rsidP="00320EFD">
            <w:pPr>
              <w:pStyle w:val="InstructionsText"/>
            </w:pPr>
            <w:r>
              <w:t>0030</w:t>
            </w:r>
          </w:p>
        </w:tc>
        <w:tc>
          <w:tcPr>
            <w:tcW w:w="7049" w:type="dxa"/>
          </w:tcPr>
          <w:p w14:paraId="7731AAFB" w14:textId="77777777" w:rsidR="00CC7D2C" w:rsidRPr="002A677E" w:rsidRDefault="00CC7D2C" w:rsidP="00320EFD">
            <w:pPr>
              <w:pStyle w:val="InstructionsText"/>
            </w:pPr>
            <w:r>
              <w:rPr>
                <w:rStyle w:val="InstructionsTabelleberschrift"/>
                <w:rFonts w:ascii="Times New Roman" w:hAnsi="Times New Roman"/>
                <w:sz w:val="24"/>
              </w:rPr>
              <w:t>1.2</w:t>
            </w:r>
            <w:r>
              <w:rPr>
                <w:rStyle w:val="InstructionsTabelleberschrift"/>
                <w:rFonts w:ascii="Times New Roman" w:hAnsi="Times New Roman"/>
                <w:sz w:val="24"/>
              </w:rPr>
              <w:tab/>
              <w:t>Tulevista veronalaisista voitoista riippuvat laskennalliset verosaamiset, jotka eivät synny väliaikaisten erojen seurauksena</w:t>
            </w:r>
          </w:p>
          <w:p w14:paraId="477958DE" w14:textId="77777777" w:rsidR="00CC7D2C" w:rsidRPr="002A677E" w:rsidRDefault="00CC7D2C" w:rsidP="00320EFD">
            <w:pPr>
              <w:pStyle w:val="InstructionsText"/>
            </w:pPr>
            <w:r>
              <w:t>Asetuksen (EU) N:o 575/2013 36 artiklan 1 kohdan c alakohta ja 38 artikla</w:t>
            </w:r>
          </w:p>
          <w:p w14:paraId="155315E4" w14:textId="77777777" w:rsidR="00CC7D2C" w:rsidRPr="002A677E" w:rsidRDefault="00CC7D2C" w:rsidP="00320EFD">
            <w:pPr>
              <w:pStyle w:val="InstructionsText"/>
            </w:pPr>
            <w:r>
              <w:t>Tässä tarkoitetaan laskennallisia verosaamisia, jotka riippuvat tulevista veronalaisista voitoista mutta eivät synny väliaikaisten erojen seurauksena, minkä vuoksi niihin ei sovelleta mitään kynnysarvoa (eli ne vähennetään kokonaan ydinpääomasta (CET1)).</w:t>
            </w:r>
          </w:p>
        </w:tc>
      </w:tr>
      <w:tr w:rsidR="00CC7D2C" w:rsidRPr="002A677E" w14:paraId="3583A917" w14:textId="77777777" w:rsidTr="00822842">
        <w:tc>
          <w:tcPr>
            <w:tcW w:w="1474" w:type="dxa"/>
          </w:tcPr>
          <w:p w14:paraId="31BB2EE5" w14:textId="77777777" w:rsidR="00CC7D2C" w:rsidRPr="002A677E" w:rsidRDefault="00CC7D2C" w:rsidP="00320EFD">
            <w:pPr>
              <w:pStyle w:val="InstructionsText"/>
            </w:pPr>
            <w:r>
              <w:t>0040</w:t>
            </w:r>
          </w:p>
        </w:tc>
        <w:tc>
          <w:tcPr>
            <w:tcW w:w="7049" w:type="dxa"/>
          </w:tcPr>
          <w:p w14:paraId="7502D26B" w14:textId="77777777" w:rsidR="00CC7D2C" w:rsidRPr="002A677E" w:rsidRDefault="00CC7D2C" w:rsidP="00320EFD">
            <w:pPr>
              <w:pStyle w:val="InstructionsText"/>
            </w:pPr>
            <w:r>
              <w:rPr>
                <w:rStyle w:val="InstructionsTabelleberschrift"/>
                <w:rFonts w:ascii="Times New Roman" w:hAnsi="Times New Roman"/>
                <w:sz w:val="24"/>
              </w:rPr>
              <w:t>1.3</w:t>
            </w:r>
            <w:r>
              <w:rPr>
                <w:rStyle w:val="InstructionsTabelleberschrift"/>
                <w:rFonts w:ascii="Times New Roman" w:hAnsi="Times New Roman"/>
                <w:sz w:val="24"/>
              </w:rPr>
              <w:tab/>
              <w:t>Tulevista veronalaisista voitoista riippuvat ja väliaikaisten erojen seurauksena syntyvät laskennalliset verosaamiset</w:t>
            </w:r>
          </w:p>
          <w:p w14:paraId="084F3ACD" w14:textId="77777777" w:rsidR="00CC7D2C" w:rsidRPr="002A677E" w:rsidRDefault="00CC7D2C" w:rsidP="00320EFD">
            <w:pPr>
              <w:pStyle w:val="InstructionsText"/>
            </w:pPr>
            <w:r>
              <w:t>Asetuksen (EU) N:o 575/2013 36 artiklan 1 kohdan c alakohta, 38 artikla ja 48 artiklan 1 kohdan a alakohta</w:t>
            </w:r>
          </w:p>
          <w:p w14:paraId="628F7B8D" w14:textId="77777777" w:rsidR="00CC7D2C" w:rsidRPr="002A677E" w:rsidRDefault="00CC7D2C" w:rsidP="00320EFD">
            <w:pPr>
              <w:pStyle w:val="InstructionsText"/>
            </w:pPr>
            <w:r>
              <w:t>Tässä tarkoitetaan laskennallisia verosaamisia, jotka riippuvat tulevista veronalaisista voitoista ja syntyvät väliaikaisten erojen seurauksena ja joiden vähentämiseen ydinpääomasta (CET1) sovelletaan näin ollen asetuksen (EU) N:o 575/2013 48 artiklassa asetettuja 10 prosentin ja 17,65 prosentin kynnysarvoja.</w:t>
            </w:r>
          </w:p>
        </w:tc>
      </w:tr>
      <w:tr w:rsidR="00CC7D2C" w:rsidRPr="002A677E" w14:paraId="3E13A5F7" w14:textId="77777777" w:rsidTr="00822842">
        <w:tc>
          <w:tcPr>
            <w:tcW w:w="1474" w:type="dxa"/>
          </w:tcPr>
          <w:p w14:paraId="16FA9B2B" w14:textId="77777777" w:rsidR="00CC7D2C" w:rsidRPr="002A677E" w:rsidRDefault="00CC7D2C" w:rsidP="00320EFD">
            <w:pPr>
              <w:pStyle w:val="InstructionsText"/>
            </w:pPr>
            <w:r>
              <w:t>0050</w:t>
            </w:r>
          </w:p>
        </w:tc>
        <w:tc>
          <w:tcPr>
            <w:tcW w:w="7049" w:type="dxa"/>
          </w:tcPr>
          <w:p w14:paraId="271F82DC" w14:textId="77777777" w:rsidR="00CC7D2C" w:rsidRPr="002A677E" w:rsidRDefault="00CC7D2C" w:rsidP="00320EFD">
            <w:pPr>
              <w:pStyle w:val="InstructionsText"/>
            </w:pPr>
            <w:r>
              <w:rPr>
                <w:rStyle w:val="InstructionsTabelleberschrift"/>
                <w:rFonts w:ascii="Times New Roman" w:hAnsi="Times New Roman"/>
                <w:sz w:val="24"/>
              </w:rPr>
              <w:t>2 Laskennalliset verovelat yhteensä</w:t>
            </w:r>
          </w:p>
          <w:p w14:paraId="7EEBFB46" w14:textId="77777777" w:rsidR="00CC7D2C" w:rsidRPr="002A677E" w:rsidRDefault="00CC7D2C" w:rsidP="00320EFD">
            <w:pPr>
              <w:pStyle w:val="InstructionsText"/>
            </w:pPr>
            <w:r>
              <w:t>Tässä kohdassa ilmoitettavan määrän on oltava sama kuin viimeisimmän verifioidun/tilintarkastetun tilinpäätöksen taseessa.</w:t>
            </w:r>
          </w:p>
        </w:tc>
      </w:tr>
      <w:tr w:rsidR="00CC7D2C" w:rsidRPr="002A677E" w14:paraId="222A2B0C" w14:textId="77777777" w:rsidTr="00822842">
        <w:tc>
          <w:tcPr>
            <w:tcW w:w="1474" w:type="dxa"/>
          </w:tcPr>
          <w:p w14:paraId="12D2C030" w14:textId="77777777" w:rsidR="00CC7D2C" w:rsidRPr="002A677E" w:rsidRDefault="00CC7D2C" w:rsidP="00320EFD">
            <w:pPr>
              <w:pStyle w:val="InstructionsText"/>
            </w:pPr>
            <w:r>
              <w:t>0060</w:t>
            </w:r>
          </w:p>
        </w:tc>
        <w:tc>
          <w:tcPr>
            <w:tcW w:w="7049" w:type="dxa"/>
          </w:tcPr>
          <w:p w14:paraId="3A23A18B" w14:textId="77777777" w:rsidR="00CC7D2C" w:rsidRPr="002A677E" w:rsidRDefault="00CC7D2C" w:rsidP="00320EFD">
            <w:pPr>
              <w:pStyle w:val="InstructionsText"/>
            </w:pPr>
            <w:r>
              <w:rPr>
                <w:rStyle w:val="InstructionsTabelleberschrift"/>
                <w:rFonts w:ascii="Times New Roman" w:hAnsi="Times New Roman"/>
                <w:sz w:val="24"/>
              </w:rPr>
              <w:t>2.1</w:t>
            </w:r>
            <w:r>
              <w:rPr>
                <w:rStyle w:val="InstructionsTabelleberschrift"/>
                <w:rFonts w:ascii="Times New Roman" w:hAnsi="Times New Roman"/>
                <w:sz w:val="24"/>
              </w:rPr>
              <w:tab/>
              <w:t>Laskennalliset verovelat, joita ei voida vähentää tulevista veronalaisista voitoista riippuvista laskennallisista verosaamisista</w:t>
            </w:r>
          </w:p>
          <w:p w14:paraId="03F91C81" w14:textId="77777777" w:rsidR="00CC7D2C" w:rsidRPr="002A677E" w:rsidRDefault="00CC7D2C" w:rsidP="00320EFD">
            <w:pPr>
              <w:pStyle w:val="InstructionsText"/>
            </w:pPr>
            <w:r>
              <w:t>Asetuksen (EU) N:o 575/2013 38 artiklan 3 ja 4 kohta</w:t>
            </w:r>
          </w:p>
          <w:p w14:paraId="06C72D86" w14:textId="77777777" w:rsidR="00CC7D2C" w:rsidRPr="002A677E" w:rsidRDefault="00CC7D2C" w:rsidP="00320EFD">
            <w:pPr>
              <w:pStyle w:val="InstructionsText"/>
            </w:pPr>
            <w:r>
              <w:t xml:space="preserve">Tässä tarkoitetaan laskennallisia verovelkoja, joiden osalta asetuksen (EU) N:o 575/2013 38 artiklan 3 ja 4 kohdassa asetetut edellytykset eivät täyty. Tähän kohtaan sisällytetään siis laskennalliset verovelat, jotka pienentävät vähennettävää liikearvon, muiden aineettomien hyödykkeiden tai etuuspohjaisen </w:t>
            </w:r>
            <w:r>
              <w:lastRenderedPageBreak/>
              <w:t>eläkerahaston varojen määrää ja jotka ilmoitetaan CA1-lomakkeen kohdissa 1.1.1.10.3, 1.1.1.11.2 ja 1.1.1.14.2.</w:t>
            </w:r>
          </w:p>
        </w:tc>
      </w:tr>
      <w:tr w:rsidR="00CC7D2C" w:rsidRPr="002A677E" w14:paraId="5BFF850F" w14:textId="77777777" w:rsidTr="00822842">
        <w:tc>
          <w:tcPr>
            <w:tcW w:w="1474" w:type="dxa"/>
          </w:tcPr>
          <w:p w14:paraId="46C23C22" w14:textId="77777777" w:rsidR="00CC7D2C" w:rsidRPr="002A677E" w:rsidRDefault="00CC7D2C" w:rsidP="00320EFD">
            <w:pPr>
              <w:pStyle w:val="InstructionsText"/>
            </w:pPr>
            <w:r>
              <w:lastRenderedPageBreak/>
              <w:t>0070</w:t>
            </w:r>
          </w:p>
        </w:tc>
        <w:tc>
          <w:tcPr>
            <w:tcW w:w="7049" w:type="dxa"/>
          </w:tcPr>
          <w:p w14:paraId="2489B6DA" w14:textId="77777777" w:rsidR="00CC7D2C" w:rsidRPr="002A677E" w:rsidRDefault="00CC7D2C" w:rsidP="00320EFD">
            <w:pPr>
              <w:pStyle w:val="InstructionsText"/>
            </w:pPr>
            <w:r>
              <w:rPr>
                <w:rStyle w:val="InstructionsTabelleberschrift"/>
                <w:rFonts w:ascii="Times New Roman" w:hAnsi="Times New Roman"/>
                <w:sz w:val="24"/>
              </w:rPr>
              <w:t>2.2</w:t>
            </w:r>
            <w:r>
              <w:rPr>
                <w:rStyle w:val="InstructionsTabelleberschrift"/>
                <w:rFonts w:ascii="Times New Roman" w:hAnsi="Times New Roman"/>
                <w:sz w:val="24"/>
              </w:rPr>
              <w:tab/>
              <w:t>Laskennalliset verovelat, jotka voidaan vähentää tulevista veronalaisista voitoista riippuvista laskennallisista verosaamisista</w:t>
            </w:r>
          </w:p>
          <w:p w14:paraId="52387C25" w14:textId="77777777" w:rsidR="00CC7D2C" w:rsidRPr="002A677E" w:rsidRDefault="00CC7D2C" w:rsidP="00320EFD">
            <w:pPr>
              <w:pStyle w:val="InstructionsText"/>
            </w:pPr>
            <w:r>
              <w:t>Asetuksen (EU) N:o 575/2013 38 artikla</w:t>
            </w:r>
          </w:p>
        </w:tc>
      </w:tr>
      <w:tr w:rsidR="00CC7D2C" w:rsidRPr="002A677E" w14:paraId="7EB41DD9" w14:textId="77777777" w:rsidTr="00822842">
        <w:tc>
          <w:tcPr>
            <w:tcW w:w="1474" w:type="dxa"/>
          </w:tcPr>
          <w:p w14:paraId="74A086AF" w14:textId="77777777" w:rsidR="00CC7D2C" w:rsidRPr="002A677E" w:rsidRDefault="00CC7D2C" w:rsidP="00320EFD">
            <w:pPr>
              <w:pStyle w:val="InstructionsText"/>
            </w:pPr>
            <w:r>
              <w:t>0080</w:t>
            </w:r>
          </w:p>
        </w:tc>
        <w:tc>
          <w:tcPr>
            <w:tcW w:w="7049" w:type="dxa"/>
          </w:tcPr>
          <w:p w14:paraId="4D5BD98A" w14:textId="77777777" w:rsidR="00CC7D2C" w:rsidRPr="002A677E" w:rsidRDefault="00CC7D2C" w:rsidP="00320EFD">
            <w:pPr>
              <w:pStyle w:val="InstructionsText"/>
            </w:pPr>
            <w:r>
              <w:rPr>
                <w:rStyle w:val="InstructionsTabelleberschrift"/>
                <w:rFonts w:ascii="Times New Roman" w:hAnsi="Times New Roman"/>
                <w:sz w:val="24"/>
              </w:rPr>
              <w:t>2.2.1</w:t>
            </w:r>
            <w:r>
              <w:rPr>
                <w:rStyle w:val="InstructionsTabelleberschrift"/>
                <w:rFonts w:ascii="Times New Roman" w:hAnsi="Times New Roman"/>
                <w:sz w:val="24"/>
              </w:rPr>
              <w:tab/>
              <w:t>Vähennyskelpoiset laskennalliset verovelat, jotka liittyvät tulevista veronalaisista voitoista riippuviin laskennallisiin verosaamisiin, jotka eivät synny väliaikaisten erojen seurauksena</w:t>
            </w:r>
          </w:p>
          <w:p w14:paraId="57B5679C" w14:textId="77777777" w:rsidR="00CC7D2C" w:rsidRPr="002A677E" w:rsidRDefault="00CC7D2C" w:rsidP="00320EFD">
            <w:pPr>
              <w:pStyle w:val="InstructionsText"/>
            </w:pPr>
            <w:r>
              <w:t>Asetuksen (EU) N:o 575/2013 38 artiklan 3, 4 ja 5 kohta</w:t>
            </w:r>
          </w:p>
          <w:p w14:paraId="6554BBC3" w14:textId="77777777" w:rsidR="00CC7D2C" w:rsidRPr="002A677E" w:rsidRDefault="00CC7D2C" w:rsidP="00320EFD">
            <w:pPr>
              <w:pStyle w:val="InstructionsText"/>
            </w:pPr>
            <w:r>
              <w:t>Tässä tarkoitetaan laskennallisia verovelkoja, jotka voivat pienentää tulevista veronalaisista voitoista riippuvien laskennallisten verosaamisten määrää asetuksen (EU) N:o 575/2013 38 artiklan 3 ja 4 kohdan mukaisesti ja joita ei ole jaettu tulevista veronalaisista voitoista riippuviin ja väliaikaisten erojen seurauksena syntyviin laskennallisiin verosaamisiin asetuksen (EU) N:o 575/2013 38 artiklan 5 kohdan mukaisesti.</w:t>
            </w:r>
          </w:p>
        </w:tc>
      </w:tr>
      <w:tr w:rsidR="00CC7D2C" w:rsidRPr="002A677E" w14:paraId="0A4C3052" w14:textId="77777777" w:rsidTr="00822842">
        <w:tc>
          <w:tcPr>
            <w:tcW w:w="1474" w:type="dxa"/>
          </w:tcPr>
          <w:p w14:paraId="5EEA1141" w14:textId="77777777" w:rsidR="00CC7D2C" w:rsidRPr="002A677E" w:rsidRDefault="00CC7D2C" w:rsidP="00320EFD">
            <w:pPr>
              <w:pStyle w:val="InstructionsText"/>
            </w:pPr>
            <w:r>
              <w:t>0090</w:t>
            </w:r>
          </w:p>
        </w:tc>
        <w:tc>
          <w:tcPr>
            <w:tcW w:w="7049" w:type="dxa"/>
          </w:tcPr>
          <w:p w14:paraId="54A4DB87" w14:textId="77777777" w:rsidR="00CC7D2C" w:rsidRPr="002A677E" w:rsidRDefault="00CC7D2C" w:rsidP="00320EFD">
            <w:pPr>
              <w:pStyle w:val="InstructionsText"/>
            </w:pPr>
            <w:r>
              <w:rPr>
                <w:rStyle w:val="InstructionsTabelleberschrift"/>
                <w:rFonts w:ascii="Times New Roman" w:hAnsi="Times New Roman"/>
                <w:sz w:val="24"/>
              </w:rPr>
              <w:t>2.2.2</w:t>
            </w:r>
            <w:r>
              <w:rPr>
                <w:rStyle w:val="InstructionsTabelleberschrift"/>
                <w:rFonts w:ascii="Times New Roman" w:hAnsi="Times New Roman"/>
                <w:sz w:val="24"/>
              </w:rPr>
              <w:tab/>
              <w:t>Vähennyskelpoiset laskennalliset verovelat, jotka liittyvät tulevista veronalaisista voitoista riippuviin laskennallisiin verosaamisiin, jotka syntyvät väliaikaisten erojen seurauksena</w:t>
            </w:r>
          </w:p>
          <w:p w14:paraId="5386BFFB" w14:textId="77777777" w:rsidR="00CC7D2C" w:rsidRPr="002A677E" w:rsidRDefault="00CC7D2C" w:rsidP="00320EFD">
            <w:pPr>
              <w:pStyle w:val="InstructionsText"/>
            </w:pPr>
            <w:r>
              <w:t>Asetuksen (EU) N:o 575/2013 38 artiklan 3, 4 ja 5 kohta</w:t>
            </w:r>
          </w:p>
          <w:p w14:paraId="737FD646" w14:textId="77777777" w:rsidR="00CC7D2C" w:rsidRPr="002A677E" w:rsidRDefault="00CC7D2C" w:rsidP="00320EFD">
            <w:pPr>
              <w:pStyle w:val="InstructionsText"/>
            </w:pPr>
            <w:r>
              <w:t>Tässä tarkoitetaan laskennallisia verovelkoja, jotka voivat pienentää tulevista veronalaisista voitoista riippuvien laskennallisten verosaamisten määrää asetuksen (EU) N:o 575/2013 38 artiklan 3 ja 4 kohdan mukaisesti ja jotka on jaettu tulevista veronalaisista voitoista riippuviin ja väliaikaisten erojen seurauksena syntyviin laskennallisiin verosaamisiin asetuksen (EU) N:o 575/2013 38 artiklan 5 kohdan mukaisesti.</w:t>
            </w:r>
          </w:p>
        </w:tc>
      </w:tr>
      <w:tr w:rsidR="00CC7D2C" w:rsidRPr="002A677E" w14:paraId="5784AB1C" w14:textId="77777777" w:rsidTr="00822842">
        <w:tc>
          <w:tcPr>
            <w:tcW w:w="1474" w:type="dxa"/>
          </w:tcPr>
          <w:p w14:paraId="27E67B0E" w14:textId="77777777" w:rsidR="00CC7D2C" w:rsidRPr="002A677E" w:rsidRDefault="00CC7D2C" w:rsidP="00320EFD">
            <w:pPr>
              <w:pStyle w:val="InstructionsText"/>
            </w:pPr>
            <w:r>
              <w:t>0093</w:t>
            </w:r>
          </w:p>
        </w:tc>
        <w:tc>
          <w:tcPr>
            <w:tcW w:w="7049" w:type="dxa"/>
          </w:tcPr>
          <w:p w14:paraId="500B8394" w14:textId="77777777" w:rsidR="00CC7D2C" w:rsidRPr="002A677E" w:rsidRDefault="00CC7D2C" w:rsidP="00320EFD">
            <w:pPr>
              <w:pStyle w:val="InstructionsText"/>
            </w:pPr>
            <w:r>
              <w:rPr>
                <w:rStyle w:val="InstructionsTabelleberschrift"/>
                <w:rFonts w:ascii="Times New Roman" w:hAnsi="Times New Roman"/>
                <w:sz w:val="24"/>
              </w:rPr>
              <w:t>2A</w:t>
            </w:r>
            <w:r>
              <w:rPr>
                <w:rStyle w:val="InstructionsTabelleberschrift"/>
                <w:rFonts w:ascii="Times New Roman" w:hAnsi="Times New Roman"/>
                <w:sz w:val="24"/>
              </w:rPr>
              <w:tab/>
              <w:t>Liikaa maksetut verot ja verotuksellisten tappioiden hyvitykset</w:t>
            </w:r>
          </w:p>
          <w:p w14:paraId="64C3A725" w14:textId="77777777" w:rsidR="00CC7D2C" w:rsidRPr="002A677E" w:rsidRDefault="00CC7D2C" w:rsidP="00320EFD">
            <w:pPr>
              <w:pStyle w:val="InstructionsText"/>
            </w:pPr>
            <w:r>
              <w:t>Asetuksen (EU) N:o 575/2013 39 artiklan 1 kohta</w:t>
            </w:r>
          </w:p>
          <w:p w14:paraId="40F0233D" w14:textId="77777777" w:rsidR="00CC7D2C" w:rsidRPr="002A677E" w:rsidRDefault="00CC7D2C" w:rsidP="00320EFD">
            <w:pPr>
              <w:pStyle w:val="InstructionsText"/>
              <w:rPr>
                <w:rStyle w:val="InstructionsTabelleberschrift"/>
                <w:rFonts w:ascii="Times New Roman" w:hAnsi="Times New Roman"/>
                <w:b w:val="0"/>
                <w:bCs w:val="0"/>
                <w:sz w:val="24"/>
                <w:u w:val="none"/>
              </w:rPr>
            </w:pPr>
            <w:r>
              <w:t>Tässä tarkoitetaan liikaa maksettujen verojen ja verotuksellisten tappioiden hyvitysten määrää, jota ei asetuksen (EU) N:o 575/2013 39 artiklan 1 kohdan mukaisesti vähennetä omista varoista; ilmoitettava määrä on määrä ennen riskipainojen soveltamista.</w:t>
            </w:r>
          </w:p>
        </w:tc>
      </w:tr>
      <w:tr w:rsidR="00CC7D2C" w:rsidRPr="002A677E" w14:paraId="0969065C" w14:textId="77777777" w:rsidTr="00822842">
        <w:tc>
          <w:tcPr>
            <w:tcW w:w="1474" w:type="dxa"/>
          </w:tcPr>
          <w:p w14:paraId="17A523BF" w14:textId="77777777" w:rsidR="00CC7D2C" w:rsidRPr="002A677E" w:rsidRDefault="00CC7D2C" w:rsidP="00320EFD">
            <w:pPr>
              <w:pStyle w:val="InstructionsText"/>
            </w:pPr>
            <w:r>
              <w:t>0096</w:t>
            </w:r>
          </w:p>
        </w:tc>
        <w:tc>
          <w:tcPr>
            <w:tcW w:w="7049" w:type="dxa"/>
          </w:tcPr>
          <w:p w14:paraId="3559104F" w14:textId="77777777" w:rsidR="00CC7D2C" w:rsidRPr="002A677E" w:rsidRDefault="00CC7D2C" w:rsidP="00320EFD">
            <w:pPr>
              <w:pStyle w:val="InstructionsText"/>
            </w:pPr>
            <w:r>
              <w:rPr>
                <w:rStyle w:val="InstructionsTabelleberschrift"/>
                <w:rFonts w:ascii="Times New Roman" w:hAnsi="Times New Roman"/>
                <w:sz w:val="24"/>
              </w:rPr>
              <w:t>2B</w:t>
            </w:r>
            <w:r>
              <w:rPr>
                <w:rStyle w:val="InstructionsTabelleberschrift"/>
                <w:rFonts w:ascii="Times New Roman" w:hAnsi="Times New Roman"/>
                <w:sz w:val="24"/>
              </w:rPr>
              <w:tab/>
              <w:t>Laskennalliset verosaamiset, joihin sovelletaan 250 prosentin riskipainoa</w:t>
            </w:r>
          </w:p>
          <w:p w14:paraId="34D369D6" w14:textId="77777777" w:rsidR="00CC7D2C" w:rsidRPr="002A677E" w:rsidRDefault="00CC7D2C" w:rsidP="00320EFD">
            <w:pPr>
              <w:pStyle w:val="InstructionsText"/>
            </w:pPr>
            <w:r>
              <w:t>Asetuksen (EU) N:o 575/2013 48 artiklan 4 kohta</w:t>
            </w:r>
          </w:p>
          <w:p w14:paraId="2D9006FE" w14:textId="38F73BDB" w:rsidR="00CC7D2C" w:rsidRPr="002A677E" w:rsidRDefault="00CC7D2C" w:rsidP="00320EFD">
            <w:pPr>
              <w:pStyle w:val="InstructionsText"/>
              <w:rPr>
                <w:rStyle w:val="InstructionsTabelleberschrift"/>
                <w:rFonts w:ascii="Times New Roman" w:hAnsi="Times New Roman"/>
                <w:b w:val="0"/>
                <w:bCs w:val="0"/>
                <w:sz w:val="24"/>
                <w:u w:val="none"/>
              </w:rPr>
            </w:pPr>
            <w:r>
              <w:t xml:space="preserve">Tässä tarkoitetaan tulevista veronalaisista voitoista riippuvia ja väliaikaisten erojen seurauksena syntyviä laskennallisia verosaamisia, joita ei vähennetä asetuksen (EU) N:o 575/2013 48 artiklan 1 kohdan mukaisesti mutta joihin sovelletaan 250 prosentin </w:t>
            </w:r>
            <w:r>
              <w:lastRenderedPageBreak/>
              <w:t>riskipainoa kyseisen asetuksen 48 artiklan 4 kohdan mukaisesti ottaen huomioon kyseisen asetuksen 470 artiklan ja 478 artiklan 2 kohdan vaikutus. Ilmoitettava määrä on laskennallisten verosaamisten määrä ennen riskipainon soveltamista.</w:t>
            </w:r>
          </w:p>
        </w:tc>
      </w:tr>
      <w:tr w:rsidR="00CC7D2C" w:rsidRPr="002A677E" w14:paraId="7B66A306" w14:textId="77777777" w:rsidTr="00822842">
        <w:tc>
          <w:tcPr>
            <w:tcW w:w="1474" w:type="dxa"/>
          </w:tcPr>
          <w:p w14:paraId="1D25A0DC" w14:textId="77777777" w:rsidR="00CC7D2C" w:rsidRPr="002A677E" w:rsidRDefault="00CC7D2C" w:rsidP="00320EFD">
            <w:pPr>
              <w:pStyle w:val="InstructionsText"/>
            </w:pPr>
            <w:r>
              <w:lastRenderedPageBreak/>
              <w:t>0097</w:t>
            </w:r>
          </w:p>
        </w:tc>
        <w:tc>
          <w:tcPr>
            <w:tcW w:w="7049" w:type="dxa"/>
          </w:tcPr>
          <w:p w14:paraId="4798DC8E" w14:textId="77777777" w:rsidR="00CC7D2C" w:rsidRPr="002A677E" w:rsidRDefault="00CC7D2C" w:rsidP="00320EFD">
            <w:pPr>
              <w:pStyle w:val="InstructionsText"/>
            </w:pPr>
            <w:r>
              <w:rPr>
                <w:rStyle w:val="InstructionsTabelleberschrift"/>
                <w:rFonts w:ascii="Times New Roman" w:hAnsi="Times New Roman"/>
                <w:sz w:val="24"/>
              </w:rPr>
              <w:t>2C</w:t>
            </w:r>
            <w:r>
              <w:rPr>
                <w:rStyle w:val="InstructionsTabelleberschrift"/>
                <w:rFonts w:ascii="Times New Roman" w:hAnsi="Times New Roman"/>
                <w:sz w:val="24"/>
              </w:rPr>
              <w:tab/>
              <w:t>Laskennalliset verosaamiset, joihin sovelletaan 0 prosentin riskipainoa</w:t>
            </w:r>
          </w:p>
          <w:p w14:paraId="4E521C1C" w14:textId="77777777" w:rsidR="00CC7D2C" w:rsidRPr="002A677E" w:rsidRDefault="00CC7D2C" w:rsidP="00320EFD">
            <w:pPr>
              <w:pStyle w:val="InstructionsText"/>
            </w:pPr>
            <w:r>
              <w:t>Asetuksen (EU) N:o 575/2013 469 artiklan 1 kohdan d alakohta, 470 artikla, 472 artiklan 5 kohta sekä 478 artikla</w:t>
            </w:r>
          </w:p>
          <w:p w14:paraId="3F0D46EC" w14:textId="119A199E" w:rsidR="00CC7D2C" w:rsidRPr="002A677E" w:rsidRDefault="00CC7D2C" w:rsidP="00320EFD">
            <w:pPr>
              <w:pStyle w:val="InstructionsText"/>
              <w:rPr>
                <w:rStyle w:val="InstructionsTabelleberschrift"/>
                <w:rFonts w:ascii="Times New Roman" w:hAnsi="Times New Roman"/>
                <w:b w:val="0"/>
                <w:bCs w:val="0"/>
                <w:sz w:val="24"/>
                <w:u w:val="none"/>
              </w:rPr>
            </w:pPr>
            <w:r>
              <w:t>Tässä tarkoitetaan tulevista veronalaisista voitoista riippuvia ja väliaikaisten erojen seurauksena syntyviä laskennallisia verosaamisia, joita ei vähennetä asetuksen (EU) N:o 575/2013 469 artiklan 1 kohdan d alakohdan, 470 artiklan, 478 artiklan 2 kohdan mukaisesti mutta joihin sovelletaan 0 prosentin riskipainoa kyseisen asetuksen 472 artiklan 5 kohdan mukaisesti. Ilmoitettava määrä on laskennallisten verosaamisten määrä ennen riskipainon soveltamista.</w:t>
            </w:r>
          </w:p>
        </w:tc>
      </w:tr>
      <w:tr w:rsidR="00CC7D2C" w:rsidRPr="002A677E" w14:paraId="3C504F47" w14:textId="77777777" w:rsidTr="00822842">
        <w:tc>
          <w:tcPr>
            <w:tcW w:w="1474" w:type="dxa"/>
          </w:tcPr>
          <w:p w14:paraId="2B890E79" w14:textId="77777777" w:rsidR="00CC7D2C" w:rsidRPr="002A677E" w:rsidRDefault="00CC7D2C" w:rsidP="00320EFD">
            <w:pPr>
              <w:pStyle w:val="InstructionsText"/>
            </w:pPr>
            <w:r>
              <w:t>0901</w:t>
            </w:r>
          </w:p>
        </w:tc>
        <w:tc>
          <w:tcPr>
            <w:tcW w:w="7049" w:type="dxa"/>
          </w:tcPr>
          <w:p w14:paraId="43FD0402"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2W Aineettomiin hyödykkeisiin laskettavat ohjelmistohyödykkeet, joita ei tarvitse vähentää ydinpääomasta (CET1)</w:t>
            </w:r>
          </w:p>
          <w:p w14:paraId="5C8FA893" w14:textId="77777777" w:rsidR="00CC7D2C" w:rsidRPr="002A677E" w:rsidRDefault="00CC7D2C" w:rsidP="00320EFD">
            <w:pPr>
              <w:pStyle w:val="InstructionsText"/>
            </w:pPr>
            <w:r>
              <w:t>Asetuksen (EU) N:o 575/2013 36 artiklan 1 kohdan b alakohta</w:t>
            </w:r>
          </w:p>
          <w:p w14:paraId="0E43062B" w14:textId="77777777" w:rsidR="00CC7D2C" w:rsidRPr="002A677E" w:rsidRDefault="00CC7D2C" w:rsidP="00320EFD">
            <w:pPr>
              <w:pStyle w:val="InstructionsText"/>
              <w:rPr>
                <w:rStyle w:val="InstructionsTabelleberschrift"/>
                <w:rFonts w:ascii="Times New Roman" w:hAnsi="Times New Roman"/>
                <w:sz w:val="24"/>
              </w:rPr>
            </w:pPr>
            <w:r>
              <w:t>Laitosten on ilmoitettava varovaisesti arvostettujen ohjelmistohyödykkeiden määrä, jota ei tarvitse vähentää ydinpääomasta (CET1) delegoidun asetuksen (EU) N:o 241/2014 13 a artiklan mukaisesti.</w:t>
            </w:r>
          </w:p>
        </w:tc>
      </w:tr>
      <w:tr w:rsidR="00CC7D2C" w:rsidRPr="002A677E" w14:paraId="24F20D09" w14:textId="77777777" w:rsidTr="00822842">
        <w:tc>
          <w:tcPr>
            <w:tcW w:w="1474" w:type="dxa"/>
          </w:tcPr>
          <w:p w14:paraId="6FFE1E59" w14:textId="77777777" w:rsidR="00CC7D2C" w:rsidRPr="002A677E" w:rsidRDefault="00CC7D2C" w:rsidP="00320EFD">
            <w:pPr>
              <w:pStyle w:val="InstructionsText"/>
            </w:pPr>
            <w:r>
              <w:t>0905</w:t>
            </w:r>
          </w:p>
        </w:tc>
        <w:tc>
          <w:tcPr>
            <w:tcW w:w="7049" w:type="dxa"/>
          </w:tcPr>
          <w:p w14:paraId="02DF2815"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2Y Ensisijaisen lisäpääoman (AT1) instrumentit sekä niihin liittyvät ylikurssirahastot, jotka on luokiteltu omaksi pääomaksi sovellettavan tilinpäätössäännöstön mukaisesti</w:t>
            </w:r>
          </w:p>
          <w:p w14:paraId="461168E6" w14:textId="77777777" w:rsidR="00CC7D2C" w:rsidRPr="002A677E" w:rsidRDefault="00CC7D2C" w:rsidP="00320EFD">
            <w:pPr>
              <w:pStyle w:val="InstructionsText"/>
              <w:rPr>
                <w:rStyle w:val="InstructionsTabelleberschrift"/>
                <w:rFonts w:ascii="Times New Roman" w:hAnsi="Times New Roman"/>
                <w:sz w:val="24"/>
              </w:rPr>
            </w:pPr>
            <w:r>
              <w:t>Sovellettavan tilinpäätössäännöstön mukaisesti omaksi pääomaksi luokiteltujen ensisijaisen lisäpääoman (AT1) instrumenttien sekä niihin liittyvien ylikurssirahastojen määrä</w:t>
            </w:r>
          </w:p>
        </w:tc>
      </w:tr>
      <w:tr w:rsidR="00CC7D2C" w:rsidRPr="002A677E" w14:paraId="382EEB77" w14:textId="77777777" w:rsidTr="00822842">
        <w:tc>
          <w:tcPr>
            <w:tcW w:w="1474" w:type="dxa"/>
          </w:tcPr>
          <w:p w14:paraId="74EAD5B4" w14:textId="77777777" w:rsidR="00CC7D2C" w:rsidRPr="002A677E" w:rsidRDefault="00CC7D2C" w:rsidP="00320EFD">
            <w:pPr>
              <w:pStyle w:val="InstructionsText"/>
            </w:pPr>
            <w:r>
              <w:t>0906</w:t>
            </w:r>
          </w:p>
        </w:tc>
        <w:tc>
          <w:tcPr>
            <w:tcW w:w="7049" w:type="dxa"/>
          </w:tcPr>
          <w:p w14:paraId="70154682"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2Z Ensisijaisen lisäpääoman (AT1) instrumentit sekä niihin liittyvät ylikurssirahastot, jotka on luokiteltu vieraaksi pääomaksi sovellettavan tilinpäätössäännöstön mukaisesti</w:t>
            </w:r>
          </w:p>
          <w:p w14:paraId="7B3EED9F" w14:textId="77777777" w:rsidR="00CC7D2C" w:rsidRPr="002A677E" w:rsidRDefault="00CC7D2C" w:rsidP="00320EFD">
            <w:pPr>
              <w:pStyle w:val="InstructionsText"/>
              <w:rPr>
                <w:rStyle w:val="InstructionsTabelleberschrift"/>
                <w:rFonts w:ascii="Times New Roman" w:hAnsi="Times New Roman"/>
                <w:sz w:val="24"/>
              </w:rPr>
            </w:pPr>
            <w:r>
              <w:t>Sovellettavan tilinpäätössäännöstön mukaisesti vieraaksi pääomaksi luokiteltujen ensisijaisen lisäpääoman (AT1) instrumenttien sekä niihin liittyvien ylikurssirahastojen määrä</w:t>
            </w:r>
          </w:p>
        </w:tc>
      </w:tr>
      <w:tr w:rsidR="00CC7D2C" w:rsidRPr="002A677E" w14:paraId="58E52AB1" w14:textId="77777777" w:rsidTr="00822842">
        <w:tc>
          <w:tcPr>
            <w:tcW w:w="1474" w:type="dxa"/>
          </w:tcPr>
          <w:p w14:paraId="7B0C140F" w14:textId="77777777" w:rsidR="00CC7D2C" w:rsidRPr="002A677E" w:rsidRDefault="00CC7D2C" w:rsidP="00320EFD">
            <w:pPr>
              <w:pStyle w:val="InstructionsText"/>
            </w:pPr>
            <w:r>
              <w:t>0100</w:t>
            </w:r>
          </w:p>
        </w:tc>
        <w:tc>
          <w:tcPr>
            <w:tcW w:w="7049" w:type="dxa"/>
          </w:tcPr>
          <w:p w14:paraId="196A8FD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rPr>
                <w:rStyle w:val="InstructionsTabelleberschrift"/>
                <w:rFonts w:ascii="Times New Roman" w:hAnsi="Times New Roman"/>
                <w:sz w:val="24"/>
              </w:rPr>
              <w:tab/>
              <w:t>Maksukykyisistä vastuista aiheutuvia odotettuja tappioita koskevien luottoriskioikaisujen, muiden arvonoikaisujen ja muiden omien varojen vähennysten ylijäämä (+) tai alijäämä (–) (IRB-menetelmä)</w:t>
            </w:r>
          </w:p>
          <w:p w14:paraId="281DFA69" w14:textId="77777777" w:rsidR="00CC7D2C" w:rsidRPr="002A677E" w:rsidRDefault="00CC7D2C" w:rsidP="00320EFD">
            <w:pPr>
              <w:pStyle w:val="InstructionsText"/>
            </w:pPr>
            <w:r>
              <w:t>Asetuksen (EU) N:o 575/2013 36 artiklan 1 kohdan d alakohta, 62 artiklan d alakohta sekä 158 ja 159 artikla.</w:t>
            </w:r>
          </w:p>
          <w:p w14:paraId="211C61EB" w14:textId="77777777" w:rsidR="00CC7D2C" w:rsidRPr="002A677E" w:rsidRDefault="00CC7D2C" w:rsidP="00320EFD">
            <w:pPr>
              <w:pStyle w:val="InstructionsText"/>
            </w:pPr>
            <w:r>
              <w:t>Tämän erän ilmoittavat ainoastaan sisäisten luottoluokitusten menetelmää (IRB-menetelmä) käyttävät laitokset.</w:t>
            </w:r>
          </w:p>
        </w:tc>
      </w:tr>
      <w:tr w:rsidR="00CC7D2C" w:rsidRPr="002A677E" w14:paraId="60712358" w14:textId="77777777" w:rsidTr="00822842">
        <w:tc>
          <w:tcPr>
            <w:tcW w:w="1474" w:type="dxa"/>
          </w:tcPr>
          <w:p w14:paraId="6AA3BC96" w14:textId="77777777" w:rsidR="00CC7D2C" w:rsidRPr="002A677E" w:rsidRDefault="00CC7D2C" w:rsidP="00320EFD">
            <w:pPr>
              <w:pStyle w:val="InstructionsText"/>
            </w:pPr>
            <w:r>
              <w:lastRenderedPageBreak/>
              <w:t>0110</w:t>
            </w:r>
          </w:p>
        </w:tc>
        <w:tc>
          <w:tcPr>
            <w:tcW w:w="7049" w:type="dxa"/>
          </w:tcPr>
          <w:p w14:paraId="2686C31A" w14:textId="77777777" w:rsidR="00CC7D2C" w:rsidRPr="002A677E" w:rsidRDefault="00CC7D2C" w:rsidP="00320EFD">
            <w:pPr>
              <w:pStyle w:val="InstructionsText"/>
            </w:pPr>
            <w:r>
              <w:rPr>
                <w:rStyle w:val="InstructionsTabelleberschrift"/>
                <w:rFonts w:ascii="Times New Roman" w:hAnsi="Times New Roman"/>
                <w:sz w:val="24"/>
              </w:rPr>
              <w:t>3.1</w:t>
            </w:r>
            <w:r>
              <w:rPr>
                <w:rStyle w:val="InstructionsTabelleberschrift"/>
                <w:rFonts w:ascii="Times New Roman" w:hAnsi="Times New Roman"/>
                <w:sz w:val="24"/>
              </w:rPr>
              <w:tab/>
              <w:t>Yhteenlasketut luottoriskioikaisut, muut arvonoikaisut ja muut omien varojen vähennykset, jotka voidaan ottaa odotetun tappion määrän laskennassa huomioon</w:t>
            </w:r>
          </w:p>
          <w:p w14:paraId="1AF7728C" w14:textId="77777777" w:rsidR="00CC7D2C" w:rsidRPr="002A677E" w:rsidRDefault="00CC7D2C" w:rsidP="00320EFD">
            <w:pPr>
              <w:pStyle w:val="InstructionsText"/>
            </w:pPr>
            <w:r>
              <w:t>Asetuksen (EU) N:o 575/2013 159 artikla</w:t>
            </w:r>
          </w:p>
          <w:p w14:paraId="21F21DE2" w14:textId="77777777" w:rsidR="00CC7D2C" w:rsidRPr="002A677E" w:rsidRDefault="00CC7D2C" w:rsidP="00320EFD">
            <w:pPr>
              <w:pStyle w:val="InstructionsText"/>
            </w:pPr>
            <w:r>
              <w:t>Tämän erän ilmoittavat ainoastaan sisäisten luottoluokitusten menetelmää (IRB-menetelmä) käyttävät laitokset.</w:t>
            </w:r>
          </w:p>
        </w:tc>
      </w:tr>
      <w:tr w:rsidR="00CC7D2C" w:rsidRPr="002A677E" w14:paraId="4D77A801" w14:textId="77777777" w:rsidTr="00822842">
        <w:tc>
          <w:tcPr>
            <w:tcW w:w="1474" w:type="dxa"/>
          </w:tcPr>
          <w:p w14:paraId="6F65C24E" w14:textId="77777777" w:rsidR="00CC7D2C" w:rsidRPr="002A677E" w:rsidRDefault="00CC7D2C" w:rsidP="00320EFD">
            <w:pPr>
              <w:pStyle w:val="InstructionsText"/>
            </w:pPr>
            <w:r>
              <w:t>0120</w:t>
            </w:r>
          </w:p>
        </w:tc>
        <w:tc>
          <w:tcPr>
            <w:tcW w:w="7049" w:type="dxa"/>
          </w:tcPr>
          <w:p w14:paraId="2DDC1449" w14:textId="77777777" w:rsidR="00CC7D2C" w:rsidRPr="002A677E" w:rsidRDefault="00CC7D2C" w:rsidP="00320EFD">
            <w:pPr>
              <w:pStyle w:val="InstructionsText"/>
            </w:pPr>
            <w:r>
              <w:rPr>
                <w:rStyle w:val="InstructionsTabelleberschrift"/>
                <w:rFonts w:ascii="Times New Roman" w:hAnsi="Times New Roman"/>
                <w:sz w:val="24"/>
              </w:rPr>
              <w:t>3.1.1</w:t>
            </w:r>
            <w:r>
              <w:rPr>
                <w:rStyle w:val="InstructionsTabelleberschrift"/>
                <w:rFonts w:ascii="Times New Roman" w:hAnsi="Times New Roman"/>
                <w:sz w:val="24"/>
              </w:rPr>
              <w:tab/>
              <w:t>Yleiset luottoriskioikaisut</w:t>
            </w:r>
          </w:p>
          <w:p w14:paraId="6F03085D" w14:textId="77777777" w:rsidR="00CC7D2C" w:rsidRPr="002A677E" w:rsidRDefault="00CC7D2C" w:rsidP="00320EFD">
            <w:pPr>
              <w:pStyle w:val="InstructionsText"/>
            </w:pPr>
            <w:r>
              <w:t>Asetuksen (EU) N:o 575/2013 159 artikla</w:t>
            </w:r>
          </w:p>
          <w:p w14:paraId="6264BB70" w14:textId="77777777" w:rsidR="00CC7D2C" w:rsidRPr="002A677E" w:rsidRDefault="00CC7D2C" w:rsidP="00320EFD">
            <w:pPr>
              <w:pStyle w:val="InstructionsText"/>
            </w:pPr>
            <w:r>
              <w:t>Tämän erän ilmoittavat ainoastaan sisäisten luottoluokitusten menetelmää (IRB-menetelmä) käyttävät laitokset.</w:t>
            </w:r>
          </w:p>
        </w:tc>
      </w:tr>
      <w:tr w:rsidR="00CC7D2C" w:rsidRPr="002A677E" w14:paraId="6FF7B336" w14:textId="77777777" w:rsidTr="00822842">
        <w:tc>
          <w:tcPr>
            <w:tcW w:w="1474" w:type="dxa"/>
          </w:tcPr>
          <w:p w14:paraId="027512EC" w14:textId="77777777" w:rsidR="00CC7D2C" w:rsidRPr="002A677E" w:rsidRDefault="00CC7D2C" w:rsidP="00320EFD">
            <w:pPr>
              <w:pStyle w:val="InstructionsText"/>
            </w:pPr>
            <w:r>
              <w:t>0130</w:t>
            </w:r>
          </w:p>
        </w:tc>
        <w:tc>
          <w:tcPr>
            <w:tcW w:w="7049" w:type="dxa"/>
          </w:tcPr>
          <w:p w14:paraId="60639211" w14:textId="77777777" w:rsidR="00CC7D2C" w:rsidRPr="002A677E" w:rsidRDefault="00CC7D2C" w:rsidP="00320EFD">
            <w:pPr>
              <w:pStyle w:val="InstructionsText"/>
            </w:pPr>
            <w:r>
              <w:rPr>
                <w:rStyle w:val="InstructionsTabelleberschrift"/>
                <w:rFonts w:ascii="Times New Roman" w:hAnsi="Times New Roman"/>
                <w:sz w:val="24"/>
              </w:rPr>
              <w:t>3.1.2</w:t>
            </w:r>
            <w:r>
              <w:rPr>
                <w:rStyle w:val="InstructionsTabelleberschrift"/>
                <w:rFonts w:ascii="Times New Roman" w:hAnsi="Times New Roman"/>
                <w:sz w:val="24"/>
              </w:rPr>
              <w:tab/>
              <w:t>Erityiset luottoriskioikaisut</w:t>
            </w:r>
          </w:p>
          <w:p w14:paraId="66E78811" w14:textId="77777777" w:rsidR="00CC7D2C" w:rsidRPr="002A677E" w:rsidRDefault="00CC7D2C" w:rsidP="00320EFD">
            <w:pPr>
              <w:pStyle w:val="InstructionsText"/>
            </w:pPr>
            <w:r>
              <w:t>Asetuksen (EU) N:o 575/2013 159 artikla</w:t>
            </w:r>
          </w:p>
          <w:p w14:paraId="5B5BE89D" w14:textId="77777777" w:rsidR="00CC7D2C" w:rsidRPr="002A677E" w:rsidRDefault="00CC7D2C" w:rsidP="00320EFD">
            <w:pPr>
              <w:pStyle w:val="InstructionsText"/>
            </w:pPr>
            <w:r>
              <w:t>Tämän erän ilmoittavat ainoastaan sisäisten luottoluokitusten menetelmää (IRB-menetelmä) käyttävät laitokset.</w:t>
            </w:r>
          </w:p>
        </w:tc>
      </w:tr>
      <w:tr w:rsidR="00CC7D2C" w:rsidRPr="002A677E" w14:paraId="1507DD8C" w14:textId="77777777" w:rsidTr="00822842">
        <w:tc>
          <w:tcPr>
            <w:tcW w:w="1474" w:type="dxa"/>
          </w:tcPr>
          <w:p w14:paraId="0CA31934" w14:textId="77777777" w:rsidR="00CC7D2C" w:rsidRPr="002A677E" w:rsidRDefault="00CC7D2C" w:rsidP="00320EFD">
            <w:pPr>
              <w:pStyle w:val="InstructionsText"/>
            </w:pPr>
            <w:r>
              <w:t>0131</w:t>
            </w:r>
          </w:p>
        </w:tc>
        <w:tc>
          <w:tcPr>
            <w:tcW w:w="7049" w:type="dxa"/>
          </w:tcPr>
          <w:p w14:paraId="680A99A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rPr>
                <w:rStyle w:val="InstructionsTabelleberschrift"/>
                <w:rFonts w:ascii="Times New Roman" w:hAnsi="Times New Roman"/>
                <w:sz w:val="24"/>
              </w:rPr>
              <w:tab/>
              <w:t>Muut arvonoikaisut ja muut omien varojen vähennykset</w:t>
            </w:r>
          </w:p>
          <w:p w14:paraId="79B5C3F4"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Asetuksen (EU) N:o 575/2013 34, 110 ja 159 artikla</w:t>
            </w:r>
          </w:p>
          <w:p w14:paraId="4D2B667E" w14:textId="77777777" w:rsidR="00CC7D2C" w:rsidRPr="002A677E" w:rsidRDefault="00CC7D2C" w:rsidP="00320EFD">
            <w:pPr>
              <w:pStyle w:val="InstructionsText"/>
              <w:rPr>
                <w:rStyle w:val="InstructionsTabelleberschrift"/>
                <w:rFonts w:ascii="Times New Roman" w:hAnsi="Times New Roman"/>
                <w:b w:val="0"/>
                <w:bCs w:val="0"/>
                <w:sz w:val="24"/>
                <w:u w:val="none"/>
              </w:rPr>
            </w:pPr>
            <w:r>
              <w:t>Tämän erän ilmoittavat ainoastaan sisäisten luottoluokitusten menetelmää (IRB-menetelmä) käyttävät laitokset.</w:t>
            </w:r>
          </w:p>
        </w:tc>
      </w:tr>
      <w:tr w:rsidR="00CC7D2C" w:rsidRPr="002A677E" w14:paraId="2D986C78" w14:textId="77777777" w:rsidTr="00822842">
        <w:tc>
          <w:tcPr>
            <w:tcW w:w="1474" w:type="dxa"/>
          </w:tcPr>
          <w:p w14:paraId="69CAFB4E" w14:textId="77777777" w:rsidR="00CC7D2C" w:rsidRPr="002A677E" w:rsidRDefault="00CC7D2C" w:rsidP="00320EFD">
            <w:pPr>
              <w:pStyle w:val="InstructionsText"/>
            </w:pPr>
            <w:r>
              <w:t>0140</w:t>
            </w:r>
          </w:p>
        </w:tc>
        <w:tc>
          <w:tcPr>
            <w:tcW w:w="7049" w:type="dxa"/>
          </w:tcPr>
          <w:p w14:paraId="2B17C910" w14:textId="77777777" w:rsidR="00CC7D2C" w:rsidRPr="002A677E" w:rsidRDefault="00CC7D2C" w:rsidP="00320EFD">
            <w:pPr>
              <w:pStyle w:val="InstructionsText"/>
            </w:pPr>
            <w:r>
              <w:rPr>
                <w:rStyle w:val="InstructionsTabelleberschrift"/>
                <w:rFonts w:ascii="Times New Roman" w:hAnsi="Times New Roman"/>
                <w:sz w:val="24"/>
              </w:rPr>
              <w:t>3.2</w:t>
            </w:r>
            <w:r>
              <w:rPr>
                <w:rStyle w:val="InstructionsTabelleberschrift"/>
                <w:rFonts w:ascii="Times New Roman" w:hAnsi="Times New Roman"/>
                <w:sz w:val="24"/>
              </w:rPr>
              <w:tab/>
              <w:t xml:space="preserve">Hyväksyttävät odotetut tappiot yhteensä </w:t>
            </w:r>
          </w:p>
          <w:p w14:paraId="4A89299A" w14:textId="77777777" w:rsidR="00CC7D2C" w:rsidRPr="002A677E" w:rsidRDefault="00CC7D2C" w:rsidP="00320EFD">
            <w:pPr>
              <w:pStyle w:val="InstructionsText"/>
            </w:pPr>
            <w:r>
              <w:t>Asetuksen (EU) N:o 575/2013 158 artiklan 5, 6 j 10 kohta ja 159 artikla</w:t>
            </w:r>
          </w:p>
          <w:p w14:paraId="0B0DDB08" w14:textId="77777777" w:rsidR="00CC7D2C" w:rsidRPr="002A677E" w:rsidRDefault="00CC7D2C" w:rsidP="00320EFD">
            <w:pPr>
              <w:pStyle w:val="InstructionsText"/>
            </w:pPr>
            <w:r>
              <w:t>Tämän erän ilmoittavat ainoastaan sisäisten luottoluokitusten menetelmää (IRB-menetelmä) käyttävät laitokset. Kohdassa ilmoitetaan ainoastaan sellainen odotettu tappio, joka liittyy muihin kuin laiminlyönnin kohteena oleviin vastuisiin.</w:t>
            </w:r>
          </w:p>
        </w:tc>
      </w:tr>
      <w:tr w:rsidR="00CC7D2C" w:rsidRPr="002A677E" w14:paraId="0CCA5EBD" w14:textId="77777777" w:rsidTr="00822842">
        <w:tc>
          <w:tcPr>
            <w:tcW w:w="1474" w:type="dxa"/>
          </w:tcPr>
          <w:p w14:paraId="4B85F1AA" w14:textId="77777777" w:rsidR="00CC7D2C" w:rsidRPr="002A677E" w:rsidRDefault="00CC7D2C" w:rsidP="00320EFD">
            <w:pPr>
              <w:pStyle w:val="InstructionsText"/>
            </w:pPr>
            <w:r>
              <w:t>0145</w:t>
            </w:r>
          </w:p>
        </w:tc>
        <w:tc>
          <w:tcPr>
            <w:tcW w:w="7049" w:type="dxa"/>
          </w:tcPr>
          <w:p w14:paraId="6C94D7D4"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4 Maksukyvyttömistä vastuista aiheutuvia odotettuja tappioita koskevien erityisten luottoriskioikaisujen ylijäämä (+) tai alijäämä (–) (IRB-menetelmä)</w:t>
            </w:r>
          </w:p>
          <w:p w14:paraId="2528CE63" w14:textId="77777777" w:rsidR="00CC7D2C" w:rsidRPr="002A677E" w:rsidRDefault="00CC7D2C" w:rsidP="00320EFD">
            <w:pPr>
              <w:pStyle w:val="InstructionsText"/>
            </w:pPr>
            <w:r>
              <w:t>Asetuksen (EU) N:o 575/2013 36 artiklan 1 kohdan d alakohta, 62 artiklan d alakohta sekä 158 ja 159 artikla</w:t>
            </w:r>
          </w:p>
          <w:p w14:paraId="298274DF" w14:textId="77777777" w:rsidR="00CC7D2C" w:rsidRPr="002A677E" w:rsidRDefault="00CC7D2C" w:rsidP="00320EFD">
            <w:pPr>
              <w:pStyle w:val="InstructionsText"/>
              <w:rPr>
                <w:rStyle w:val="InstructionsTabelleberschrift"/>
                <w:rFonts w:ascii="Times New Roman" w:hAnsi="Times New Roman"/>
                <w:b w:val="0"/>
                <w:bCs w:val="0"/>
                <w:sz w:val="24"/>
                <w:u w:val="none"/>
              </w:rPr>
            </w:pPr>
            <w:r>
              <w:t>Tämän erän ilmoittavat ainoastaan sisäisten luottoluokitusten menetelmää (IRB-menetelmä) käyttävät laitokset.</w:t>
            </w:r>
          </w:p>
        </w:tc>
      </w:tr>
      <w:tr w:rsidR="00CC7D2C" w:rsidRPr="002A677E" w14:paraId="49FDD675" w14:textId="77777777" w:rsidTr="00822842">
        <w:tc>
          <w:tcPr>
            <w:tcW w:w="1474" w:type="dxa"/>
          </w:tcPr>
          <w:p w14:paraId="4AA13653" w14:textId="77777777" w:rsidR="00CC7D2C" w:rsidRPr="002A677E" w:rsidRDefault="00CC7D2C" w:rsidP="00320EFD">
            <w:pPr>
              <w:pStyle w:val="InstructionsText"/>
            </w:pPr>
            <w:r>
              <w:t>0150</w:t>
            </w:r>
          </w:p>
        </w:tc>
        <w:tc>
          <w:tcPr>
            <w:tcW w:w="7049" w:type="dxa"/>
          </w:tcPr>
          <w:p w14:paraId="25ADFACD"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rPr>
                <w:rStyle w:val="InstructionsTabelleberschrift"/>
                <w:rFonts w:ascii="Times New Roman" w:hAnsi="Times New Roman"/>
                <w:sz w:val="24"/>
              </w:rPr>
              <w:tab/>
              <w:t>Erityiset luottoriskioikaisut ja positiot, joita käsitellään vastaavasti</w:t>
            </w:r>
          </w:p>
          <w:p w14:paraId="1E7B4C7D" w14:textId="77777777" w:rsidR="00CC7D2C" w:rsidRPr="002A677E" w:rsidRDefault="00CC7D2C" w:rsidP="00320EFD">
            <w:pPr>
              <w:pStyle w:val="InstructionsText"/>
            </w:pPr>
            <w:r>
              <w:t>Asetuksen (EU) N:o 575/2013 159 artikla</w:t>
            </w:r>
          </w:p>
          <w:p w14:paraId="7B320BDB" w14:textId="77777777" w:rsidR="00CC7D2C" w:rsidRPr="002A677E" w:rsidRDefault="00CC7D2C" w:rsidP="00320EFD">
            <w:pPr>
              <w:pStyle w:val="InstructionsText"/>
              <w:rPr>
                <w:rStyle w:val="InstructionsTabelleberschrift"/>
                <w:rFonts w:ascii="Times New Roman" w:hAnsi="Times New Roman"/>
                <w:b w:val="0"/>
                <w:bCs w:val="0"/>
                <w:sz w:val="24"/>
                <w:u w:val="none"/>
              </w:rPr>
            </w:pPr>
            <w:r>
              <w:t>Tämän erän ilmoittavat ainoastaan sisäisten luottoluokitusten menetelmää (IRB-menetelmä) käyttävät laitokset.</w:t>
            </w:r>
          </w:p>
        </w:tc>
      </w:tr>
      <w:tr w:rsidR="00CC7D2C" w:rsidRPr="002A677E" w14:paraId="2F2C21CB" w14:textId="77777777" w:rsidTr="00822842">
        <w:tc>
          <w:tcPr>
            <w:tcW w:w="1474" w:type="dxa"/>
          </w:tcPr>
          <w:p w14:paraId="2A1910C2" w14:textId="77777777" w:rsidR="00CC7D2C" w:rsidRPr="002A677E" w:rsidRDefault="00CC7D2C" w:rsidP="00320EFD">
            <w:pPr>
              <w:pStyle w:val="InstructionsText"/>
            </w:pPr>
            <w:r>
              <w:t>0155</w:t>
            </w:r>
          </w:p>
        </w:tc>
        <w:tc>
          <w:tcPr>
            <w:tcW w:w="7049" w:type="dxa"/>
          </w:tcPr>
          <w:p w14:paraId="1EA4BC8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rPr>
                <w:rStyle w:val="InstructionsTabelleberschrift"/>
                <w:rFonts w:ascii="Times New Roman" w:hAnsi="Times New Roman"/>
                <w:sz w:val="24"/>
              </w:rPr>
              <w:tab/>
              <w:t>Hyväksyttävät odotetut tappiot yhteensä</w:t>
            </w:r>
          </w:p>
          <w:p w14:paraId="30E1E0B6" w14:textId="77777777" w:rsidR="00CC7D2C" w:rsidRPr="002A677E" w:rsidRDefault="00CC7D2C" w:rsidP="00320EFD">
            <w:pPr>
              <w:pStyle w:val="InstructionsText"/>
              <w:rPr>
                <w:rStyle w:val="InstructionsTabelleberschrift"/>
                <w:rFonts w:ascii="Times New Roman" w:hAnsi="Times New Roman"/>
                <w:sz w:val="24"/>
              </w:rPr>
            </w:pPr>
            <w:r>
              <w:lastRenderedPageBreak/>
              <w:t>Asetuksen (EU) N:o 575/2013 158 artiklan 5, 6 j 10 kohta ja 159 artikla</w:t>
            </w:r>
          </w:p>
          <w:p w14:paraId="64767324" w14:textId="77777777" w:rsidR="00CC7D2C" w:rsidRPr="002A677E" w:rsidRDefault="00CC7D2C" w:rsidP="00320EFD">
            <w:pPr>
              <w:pStyle w:val="InstructionsText"/>
              <w:rPr>
                <w:rStyle w:val="InstructionsTabelleberschrift"/>
                <w:rFonts w:ascii="Times New Roman" w:hAnsi="Times New Roman"/>
                <w:b w:val="0"/>
                <w:bCs w:val="0"/>
                <w:sz w:val="24"/>
                <w:u w:val="none"/>
              </w:rPr>
            </w:pPr>
            <w:r>
              <w:t>Tämän erän ilmoittavat ainoastaan sisäisten luottoluokitusten menetelmää (IRB-menetelmä) käyttävät laitokset. Kohdassa ilmoitetaan ainoastaan maksukyvyttömiin vastuisiin liittyvät odotetut tappiot.</w:t>
            </w:r>
          </w:p>
        </w:tc>
      </w:tr>
      <w:tr w:rsidR="00CC7D2C" w:rsidRPr="002A677E" w14:paraId="3D2CC5A7" w14:textId="77777777" w:rsidTr="00822842">
        <w:tc>
          <w:tcPr>
            <w:tcW w:w="1474" w:type="dxa"/>
          </w:tcPr>
          <w:p w14:paraId="4B1929EF" w14:textId="77777777" w:rsidR="00CC7D2C" w:rsidRPr="002A677E" w:rsidRDefault="00CC7D2C" w:rsidP="00320EFD">
            <w:pPr>
              <w:pStyle w:val="InstructionsText"/>
            </w:pPr>
            <w:r>
              <w:lastRenderedPageBreak/>
              <w:t>0160</w:t>
            </w:r>
          </w:p>
        </w:tc>
        <w:tc>
          <w:tcPr>
            <w:tcW w:w="7049" w:type="dxa"/>
          </w:tcPr>
          <w:p w14:paraId="1F6A90B7" w14:textId="77777777" w:rsidR="00CC7D2C" w:rsidRPr="002A677E" w:rsidRDefault="00CC7D2C" w:rsidP="00320EFD">
            <w:pPr>
              <w:pStyle w:val="InstructionsText"/>
            </w:pPr>
            <w:r>
              <w:rPr>
                <w:rStyle w:val="InstructionsTabelleberschrift"/>
                <w:rFonts w:ascii="Times New Roman" w:hAnsi="Times New Roman"/>
                <w:sz w:val="24"/>
              </w:rPr>
              <w:t>5</w:t>
            </w:r>
            <w:r>
              <w:rPr>
                <w:rStyle w:val="InstructionsTabelleberschrift"/>
                <w:rFonts w:ascii="Times New Roman" w:hAnsi="Times New Roman"/>
                <w:sz w:val="24"/>
              </w:rPr>
              <w:tab/>
              <w:t>Riskipainotetut vastuuerät, joita sovelletaan toissijaiseksi pääomaksi (T2) hyväksyttävän varauksen ylijäämän ylärajan laskennassa</w:t>
            </w:r>
          </w:p>
          <w:p w14:paraId="563E7C9E" w14:textId="77777777" w:rsidR="00CC7D2C" w:rsidRPr="002A677E" w:rsidRDefault="00CC7D2C" w:rsidP="00320EFD">
            <w:pPr>
              <w:pStyle w:val="InstructionsText"/>
            </w:pPr>
            <w:r>
              <w:t>Asetuksen (EU) N:o 575/2013 62 artiklan d alakohta</w:t>
            </w:r>
          </w:p>
          <w:p w14:paraId="363FA5D2" w14:textId="77777777" w:rsidR="00CC7D2C" w:rsidRPr="002A677E" w:rsidRDefault="00CC7D2C" w:rsidP="00320EFD">
            <w:pPr>
              <w:pStyle w:val="InstructionsText"/>
            </w:pPr>
            <w:r>
              <w:t>Sisäisten luottoluokitusten menetelmää (IRB-menetelmä) käyttävillä laitoksilla toissijaiseksi pääomaksi (T2) hyväksyttävälle varausten ylijäämälle (suhteessa odotettuihin tappioihin) on asetuksen (EU) N:o 575/2013 62 artiklan d alakohdan mukaisesti asetettu ylärajaksi 0,6 prosenttia IRB-menetelmän mukaan lasketuista riskipainotetuista vastuueristä.</w:t>
            </w:r>
          </w:p>
          <w:p w14:paraId="42C93CC2" w14:textId="77777777" w:rsidR="00CC7D2C" w:rsidRPr="002A677E" w:rsidRDefault="00CC7D2C" w:rsidP="00320EFD">
            <w:pPr>
              <w:pStyle w:val="InstructionsText"/>
            </w:pPr>
            <w:r>
              <w:t>Tässä kohdassa ilmoitetaan riskipainotettujen vastuuerien määrä (eli määrä, jota ei ole kerrottu 0,6 prosentilla), jota käytetään perustana ylärajan laskemiselle.</w:t>
            </w:r>
          </w:p>
        </w:tc>
      </w:tr>
      <w:tr w:rsidR="00CC7D2C" w:rsidRPr="002A677E" w14:paraId="60C783AB" w14:textId="77777777" w:rsidTr="00822842">
        <w:tc>
          <w:tcPr>
            <w:tcW w:w="1474" w:type="dxa"/>
          </w:tcPr>
          <w:p w14:paraId="79A77613" w14:textId="77777777" w:rsidR="00CC7D2C" w:rsidRPr="002A677E" w:rsidRDefault="00CC7D2C" w:rsidP="00320EFD">
            <w:pPr>
              <w:pStyle w:val="InstructionsText"/>
            </w:pPr>
            <w:r>
              <w:t>0170</w:t>
            </w:r>
          </w:p>
        </w:tc>
        <w:tc>
          <w:tcPr>
            <w:tcW w:w="7049" w:type="dxa"/>
          </w:tcPr>
          <w:p w14:paraId="2869B203" w14:textId="77777777" w:rsidR="00CC7D2C" w:rsidRPr="002A677E" w:rsidRDefault="00CC7D2C" w:rsidP="00320EFD">
            <w:pPr>
              <w:pStyle w:val="InstructionsText"/>
            </w:pPr>
            <w:r>
              <w:rPr>
                <w:rStyle w:val="InstructionsTabelleberschrift"/>
                <w:rFonts w:ascii="Times New Roman" w:hAnsi="Times New Roman"/>
                <w:sz w:val="24"/>
              </w:rPr>
              <w:t>6</w:t>
            </w:r>
            <w:r>
              <w:rPr>
                <w:rStyle w:val="InstructionsTabelleberschrift"/>
                <w:rFonts w:ascii="Times New Roman" w:hAnsi="Times New Roman"/>
                <w:sz w:val="24"/>
              </w:rPr>
              <w:tab/>
              <w:t>Toissijaiseksi pääomaksi (T2) hyväksyttävien varausten yhteismäärä (brutto)</w:t>
            </w:r>
          </w:p>
          <w:p w14:paraId="79DEE159" w14:textId="77777777" w:rsidR="00CC7D2C" w:rsidRPr="002A677E" w:rsidRDefault="00CC7D2C" w:rsidP="00320EFD">
            <w:pPr>
              <w:pStyle w:val="InstructionsText"/>
            </w:pPr>
            <w:r>
              <w:t>Asetuksen (EU) N:o 575/2013 62 artiklan c alakohta</w:t>
            </w:r>
          </w:p>
          <w:p w14:paraId="7677FF60" w14:textId="77777777" w:rsidR="00CC7D2C" w:rsidRPr="002A677E" w:rsidRDefault="00CC7D2C" w:rsidP="00320EFD">
            <w:pPr>
              <w:pStyle w:val="InstructionsText"/>
            </w:pPr>
            <w:r>
              <w:t>Tähän kohtaan sisällytetään toissijaiseksi pääomaksi (T2) hyväksyttävät yleiset luottoriskioikaisut asetettuun ylärajaan asti.</w:t>
            </w:r>
          </w:p>
          <w:p w14:paraId="748D0361" w14:textId="77777777" w:rsidR="00CC7D2C" w:rsidRPr="002A677E" w:rsidRDefault="00CC7D2C" w:rsidP="00320EFD">
            <w:pPr>
              <w:pStyle w:val="InstructionsText"/>
            </w:pPr>
            <w:r>
              <w:t>Ilmoitettava määrä on bruttomäärä ennen verovaikutusten vähentämistä.</w:t>
            </w:r>
          </w:p>
        </w:tc>
      </w:tr>
      <w:tr w:rsidR="00CC7D2C" w:rsidRPr="002A677E" w14:paraId="61A88AE0" w14:textId="77777777" w:rsidTr="00822842">
        <w:tc>
          <w:tcPr>
            <w:tcW w:w="1474" w:type="dxa"/>
          </w:tcPr>
          <w:p w14:paraId="61131275" w14:textId="77777777" w:rsidR="00CC7D2C" w:rsidRPr="002A677E" w:rsidRDefault="00CC7D2C" w:rsidP="00320EFD">
            <w:pPr>
              <w:pStyle w:val="InstructionsText"/>
            </w:pPr>
            <w:r>
              <w:t>0180</w:t>
            </w:r>
          </w:p>
        </w:tc>
        <w:tc>
          <w:tcPr>
            <w:tcW w:w="7049" w:type="dxa"/>
          </w:tcPr>
          <w:p w14:paraId="33B7FC74" w14:textId="77777777" w:rsidR="00CC7D2C" w:rsidRPr="002A677E" w:rsidRDefault="00CC7D2C" w:rsidP="00320EFD">
            <w:pPr>
              <w:pStyle w:val="InstructionsText"/>
            </w:pPr>
            <w:r>
              <w:rPr>
                <w:rStyle w:val="InstructionsTabelleberschrift"/>
                <w:rFonts w:ascii="Times New Roman" w:hAnsi="Times New Roman"/>
                <w:sz w:val="24"/>
              </w:rPr>
              <w:t>7</w:t>
            </w:r>
            <w:r>
              <w:rPr>
                <w:rStyle w:val="InstructionsTabelleberschrift"/>
                <w:rFonts w:ascii="Times New Roman" w:hAnsi="Times New Roman"/>
                <w:sz w:val="24"/>
              </w:rPr>
              <w:tab/>
              <w:t>Riskipainotetut vastuuerät, joita sovelletaan toissijaiseksi pääomaksi (T2) hyväksyttävän varauksen ylärajan laskennassa</w:t>
            </w:r>
          </w:p>
          <w:p w14:paraId="345CC1D6" w14:textId="77777777" w:rsidR="00CC7D2C" w:rsidRPr="002A677E" w:rsidRDefault="00CC7D2C" w:rsidP="00320EFD">
            <w:pPr>
              <w:pStyle w:val="InstructionsText"/>
            </w:pPr>
            <w:r>
              <w:t>Asetuksen (EU) N:o 575/2013 62 artiklan c alakohta</w:t>
            </w:r>
          </w:p>
          <w:p w14:paraId="65850475" w14:textId="77777777" w:rsidR="00CC7D2C" w:rsidRPr="002A677E" w:rsidRDefault="00CC7D2C" w:rsidP="00320EFD">
            <w:pPr>
              <w:pStyle w:val="InstructionsText"/>
            </w:pPr>
            <w:r>
              <w:t>Asetuksen (EU) N:o 575/2013 62 artiklan c alakohdan mukaisesti toissijaiseksi pääomaksi (T2) hyväksyttäville luottoriskioikaisuille on asetettu ylärajaksi 1,25 prosenttia riskipainotetuista vastuueristä.</w:t>
            </w:r>
          </w:p>
          <w:p w14:paraId="3B08F4EA" w14:textId="77777777" w:rsidR="00CC7D2C" w:rsidRPr="002A677E" w:rsidRDefault="00CC7D2C" w:rsidP="00320EFD">
            <w:pPr>
              <w:pStyle w:val="InstructionsText"/>
            </w:pPr>
            <w:r>
              <w:t>Tässä kohdassa ilmoitetaan riskipainotettujen vastuuerien määrä (eli määrä, jota ei ole kerrottu 1,25 prosentilla), jota käytetään perustana ylärajan laskemiselle.</w:t>
            </w:r>
          </w:p>
        </w:tc>
      </w:tr>
      <w:tr w:rsidR="00CC7D2C" w:rsidRPr="002A677E" w14:paraId="42A495BB" w14:textId="77777777" w:rsidTr="00822842">
        <w:tc>
          <w:tcPr>
            <w:tcW w:w="1474" w:type="dxa"/>
          </w:tcPr>
          <w:p w14:paraId="19E4935C" w14:textId="77777777" w:rsidR="00CC7D2C" w:rsidRPr="002A677E" w:rsidRDefault="00CC7D2C" w:rsidP="00320EFD">
            <w:pPr>
              <w:pStyle w:val="InstructionsText"/>
            </w:pPr>
            <w:r>
              <w:t>0190</w:t>
            </w:r>
          </w:p>
        </w:tc>
        <w:tc>
          <w:tcPr>
            <w:tcW w:w="7049" w:type="dxa"/>
          </w:tcPr>
          <w:p w14:paraId="70F5FE0C" w14:textId="77777777" w:rsidR="00CC7D2C" w:rsidRPr="002A677E" w:rsidRDefault="00CC7D2C" w:rsidP="00320EFD">
            <w:pPr>
              <w:pStyle w:val="InstructionsText"/>
            </w:pPr>
            <w:r>
              <w:rPr>
                <w:rStyle w:val="InstructionsTabelleberschrift"/>
                <w:rFonts w:ascii="Times New Roman" w:hAnsi="Times New Roman"/>
                <w:sz w:val="24"/>
              </w:rPr>
              <w:t>8</w:t>
            </w:r>
            <w:r>
              <w:rPr>
                <w:rStyle w:val="InstructionsTabelleberschrift"/>
                <w:rFonts w:ascii="Times New Roman" w:hAnsi="Times New Roman"/>
                <w:sz w:val="24"/>
              </w:rPr>
              <w:tab/>
              <w:t>Kynnysarvo, jota sovelletaan ei-vähennyskelpoisiin omistusosuuksiin, kun laitoksella ei ole merkittävää sijoitusta finanssialan yhteisössä</w:t>
            </w:r>
          </w:p>
          <w:p w14:paraId="281FF318" w14:textId="77777777" w:rsidR="00CC7D2C" w:rsidRPr="002A677E" w:rsidRDefault="00CC7D2C" w:rsidP="00320EFD">
            <w:pPr>
              <w:pStyle w:val="InstructionsText"/>
            </w:pPr>
            <w:r>
              <w:t>Asetuksen (EU) N:o 575/2013 46 artiklan 1 kohdan a alakohta</w:t>
            </w:r>
          </w:p>
          <w:p w14:paraId="6CBDA660" w14:textId="77777777" w:rsidR="00CC7D2C" w:rsidRPr="002A677E" w:rsidRDefault="00CC7D2C" w:rsidP="00320EFD">
            <w:pPr>
              <w:pStyle w:val="InstructionsText"/>
            </w:pPr>
            <w:r>
              <w:t xml:space="preserve">Tämä kohta sisältää kynnysarvon, johon saakka omistusosuuksia finanssialan yhteisöistä, joissa laitoksella ei ole merkittävää sijoitusta, ei vähennetä. Ilmoitettava määrä koostuu kynnysarvon </w:t>
            </w:r>
            <w:r>
              <w:lastRenderedPageBreak/>
              <w:t>perustana olevien kaikkien erien yhteenlasketusta määrästä, joka on kerrottu 10 prosentin kertoimella.</w:t>
            </w:r>
          </w:p>
        </w:tc>
      </w:tr>
      <w:tr w:rsidR="00CC7D2C" w:rsidRPr="002A677E" w14:paraId="016320B7" w14:textId="77777777" w:rsidTr="00822842">
        <w:tc>
          <w:tcPr>
            <w:tcW w:w="1474" w:type="dxa"/>
          </w:tcPr>
          <w:p w14:paraId="3F10ED4B" w14:textId="77777777" w:rsidR="00CC7D2C" w:rsidRPr="002A677E" w:rsidRDefault="00CC7D2C" w:rsidP="00320EFD">
            <w:pPr>
              <w:pStyle w:val="InstructionsText"/>
            </w:pPr>
            <w:r>
              <w:lastRenderedPageBreak/>
              <w:t>0200</w:t>
            </w:r>
          </w:p>
        </w:tc>
        <w:tc>
          <w:tcPr>
            <w:tcW w:w="7049" w:type="dxa"/>
          </w:tcPr>
          <w:p w14:paraId="076C1F3B" w14:textId="77777777" w:rsidR="00CC7D2C" w:rsidRPr="002A677E" w:rsidRDefault="00CC7D2C" w:rsidP="00320EFD">
            <w:pPr>
              <w:pStyle w:val="InstructionsText"/>
            </w:pPr>
            <w:r>
              <w:rPr>
                <w:rStyle w:val="InstructionsTabelleberschrift"/>
                <w:rFonts w:ascii="Times New Roman" w:hAnsi="Times New Roman"/>
                <w:sz w:val="24"/>
              </w:rPr>
              <w:t>9</w:t>
            </w:r>
            <w:r>
              <w:rPr>
                <w:rStyle w:val="InstructionsTabelleberschrift"/>
                <w:rFonts w:ascii="Times New Roman" w:hAnsi="Times New Roman"/>
                <w:sz w:val="24"/>
              </w:rPr>
              <w:tab/>
              <w:t xml:space="preserve">Ydinpääomaa (CET1) koskeva 10 prosentin kynnysarvo </w:t>
            </w:r>
          </w:p>
          <w:p w14:paraId="59F6CAC3" w14:textId="77777777" w:rsidR="00CC7D2C" w:rsidRPr="002A677E" w:rsidRDefault="00CC7D2C" w:rsidP="00320EFD">
            <w:pPr>
              <w:pStyle w:val="InstructionsText"/>
            </w:pPr>
            <w:r>
              <w:t>Asetuksen (EU) N:o 575/2013 48 artiklan 1 kohdan a ja b alakohta</w:t>
            </w:r>
          </w:p>
          <w:p w14:paraId="6BCD7ABF" w14:textId="77777777" w:rsidR="00CC7D2C" w:rsidRPr="002A677E" w:rsidRDefault="00CC7D2C" w:rsidP="00320EFD">
            <w:pPr>
              <w:pStyle w:val="InstructionsText"/>
            </w:pPr>
            <w:r>
              <w:t>Tämä kohta sisältää 10 prosentin kynnysarvon omistusosuuksille finanssialan yhteisöistä, joissa laitoksella on merkittävä sijoitus, ja laskennallisille verosaamisille, jotka riippuvat tulevista veronalaisista voitoista ja syntyvät väliaikaisten erojen seurauksena.</w:t>
            </w:r>
          </w:p>
          <w:p w14:paraId="44EADE68" w14:textId="77777777" w:rsidR="00CC7D2C" w:rsidRPr="002A677E" w:rsidRDefault="00CC7D2C" w:rsidP="00320EFD">
            <w:pPr>
              <w:pStyle w:val="InstructionsText"/>
            </w:pPr>
            <w:r>
              <w:t>Ilmoitettava määrä koostuu kynnysarvon perustana olevien kaikkien erien yhteenlasketusta määrästä, joka on kerrottu 10 prosentin kertoimella.</w:t>
            </w:r>
          </w:p>
        </w:tc>
      </w:tr>
      <w:tr w:rsidR="00CC7D2C" w:rsidRPr="002A677E" w14:paraId="60475AA7" w14:textId="77777777" w:rsidTr="00822842">
        <w:tc>
          <w:tcPr>
            <w:tcW w:w="1474" w:type="dxa"/>
          </w:tcPr>
          <w:p w14:paraId="52EAB34B" w14:textId="77777777" w:rsidR="00CC7D2C" w:rsidRPr="002A677E" w:rsidRDefault="00CC7D2C" w:rsidP="00320EFD">
            <w:pPr>
              <w:pStyle w:val="InstructionsText"/>
            </w:pPr>
            <w:r>
              <w:t>0210</w:t>
            </w:r>
          </w:p>
        </w:tc>
        <w:tc>
          <w:tcPr>
            <w:tcW w:w="7049" w:type="dxa"/>
          </w:tcPr>
          <w:p w14:paraId="10ED2189" w14:textId="77777777" w:rsidR="00CC7D2C" w:rsidRPr="002A677E" w:rsidRDefault="00CC7D2C" w:rsidP="00320EFD">
            <w:pPr>
              <w:pStyle w:val="InstructionsText"/>
            </w:pPr>
            <w:r>
              <w:rPr>
                <w:rStyle w:val="InstructionsTabelleberschrift"/>
                <w:rFonts w:ascii="Times New Roman" w:hAnsi="Times New Roman"/>
                <w:sz w:val="24"/>
              </w:rPr>
              <w:t>10</w:t>
            </w:r>
            <w:r>
              <w:rPr>
                <w:rStyle w:val="InstructionsTabelleberschrift"/>
                <w:rFonts w:ascii="Times New Roman" w:hAnsi="Times New Roman"/>
                <w:sz w:val="24"/>
              </w:rPr>
              <w:tab/>
              <w:t xml:space="preserve">Ydinpääomaa (CET1) koskeva 17,65 prosentin kynnysarvo </w:t>
            </w:r>
          </w:p>
          <w:p w14:paraId="742C492D" w14:textId="77777777" w:rsidR="00CC7D2C" w:rsidRPr="002A677E" w:rsidRDefault="00CC7D2C" w:rsidP="00320EFD">
            <w:pPr>
              <w:pStyle w:val="InstructionsText"/>
            </w:pPr>
            <w:r>
              <w:t>Asetuksen (EU) N:o 575/2013 48 artiklan 1 kohta</w:t>
            </w:r>
          </w:p>
          <w:p w14:paraId="62003D54" w14:textId="77777777" w:rsidR="00CC7D2C" w:rsidRPr="002A677E" w:rsidRDefault="00CC7D2C" w:rsidP="00320EFD">
            <w:pPr>
              <w:pStyle w:val="InstructionsText"/>
            </w:pPr>
            <w:r>
              <w:t>Tämä kohta sisältää 17,65 prosentin kynnysarvon omistusosuuksille finanssialan yhteisöistä, joissa laitoksella on merkittävä sijoitus, ja laskennallisille verosaamisille, jotka riippuvat tulevista veronalaisista voitoista ja syntyvät väliaikaisten erojen seurauksena. Tätä kynnysarvoa sovelletaan 10 prosentin kynnysarvon jälkeen.</w:t>
            </w:r>
          </w:p>
          <w:p w14:paraId="3E3DB4A1" w14:textId="77777777" w:rsidR="00CC7D2C" w:rsidRPr="002A677E" w:rsidRDefault="00CC7D2C" w:rsidP="00320EFD">
            <w:pPr>
              <w:pStyle w:val="InstructionsText"/>
            </w:pPr>
            <w:r>
              <w:t>Kynnysarvo lasketaan siten, että esitettyjen kahden erän osalta kirjattu yhteismäärä ei ylitä 15:tä prosenttia lopullisesta ydinpääomasta (CET1), johon on laskettu kaikki vähennykset muttei siirtymäsäännöksistä aiheutuvia oikaisuja.</w:t>
            </w:r>
          </w:p>
        </w:tc>
      </w:tr>
      <w:tr w:rsidR="00CC7D2C" w:rsidRPr="002A677E" w14:paraId="0142E433" w14:textId="77777777" w:rsidTr="00822842">
        <w:tc>
          <w:tcPr>
            <w:tcW w:w="1474" w:type="dxa"/>
          </w:tcPr>
          <w:p w14:paraId="2C6DB487" w14:textId="77777777" w:rsidR="00CC7D2C" w:rsidRPr="002A677E" w:rsidRDefault="00CC7D2C" w:rsidP="00320EFD">
            <w:pPr>
              <w:pStyle w:val="InstructionsText"/>
            </w:pPr>
            <w:r>
              <w:t>0225</w:t>
            </w:r>
          </w:p>
        </w:tc>
        <w:tc>
          <w:tcPr>
            <w:tcW w:w="7049" w:type="dxa"/>
          </w:tcPr>
          <w:p w14:paraId="07B35C3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rPr>
                <w:rStyle w:val="InstructionsTabelleberschrift"/>
                <w:rFonts w:ascii="Times New Roman" w:hAnsi="Times New Roman"/>
                <w:sz w:val="24"/>
              </w:rPr>
              <w:tab/>
              <w:t>Finanssialan ulkopuolisiksi huomattaviksi omistusosuuksiksi katsottavat pääomaerät</w:t>
            </w:r>
          </w:p>
          <w:p w14:paraId="06E4594F"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 Asetuksen (EU) N:o 575/2013 4 artiklan 1 kohdan 71 alakohdan a alakohta</w:t>
            </w:r>
          </w:p>
        </w:tc>
      </w:tr>
      <w:tr w:rsidR="00CC7D2C" w:rsidRPr="002A677E" w14:paraId="01AAA752" w14:textId="77777777" w:rsidTr="00822842">
        <w:tc>
          <w:tcPr>
            <w:tcW w:w="1474" w:type="dxa"/>
          </w:tcPr>
          <w:p w14:paraId="7E392A5A" w14:textId="77777777" w:rsidR="00CC7D2C" w:rsidRPr="002A677E" w:rsidRDefault="00CC7D2C" w:rsidP="00320EFD">
            <w:pPr>
              <w:pStyle w:val="InstructionsText"/>
            </w:pPr>
            <w:r>
              <w:t>0230</w:t>
            </w:r>
          </w:p>
        </w:tc>
        <w:tc>
          <w:tcPr>
            <w:tcW w:w="7049" w:type="dxa"/>
          </w:tcPr>
          <w:p w14:paraId="721AB6E1" w14:textId="77777777" w:rsidR="00CC7D2C" w:rsidRPr="002A677E" w:rsidRDefault="00CC7D2C" w:rsidP="00320EFD">
            <w:pPr>
              <w:pStyle w:val="InstructionsText"/>
            </w:pPr>
            <w:r>
              <w:rPr>
                <w:rStyle w:val="InstructionsTabelleberschrift"/>
                <w:rFonts w:ascii="Times New Roman" w:hAnsi="Times New Roman"/>
                <w:sz w:val="24"/>
              </w:rPr>
              <w:t>12</w:t>
            </w:r>
            <w:r>
              <w:rPr>
                <w:rStyle w:val="InstructionsTabelleberschrift"/>
                <w:rFonts w:ascii="Times New Roman" w:hAnsi="Times New Roman"/>
                <w:sz w:val="24"/>
              </w:rPr>
              <w:tab/>
              <w:t>Ydinpääoman (CET1) omistusosuudet sellaisissa finanssialan yhteisöissä, joissa laitoksella ei ole merkittävää sijoitusta, vähennettyinä lyhyiden positioiden määrällä</w:t>
            </w:r>
          </w:p>
          <w:p w14:paraId="05E6C89B" w14:textId="77777777" w:rsidR="00CC7D2C" w:rsidRPr="002A677E" w:rsidRDefault="00CC7D2C" w:rsidP="00320EFD">
            <w:pPr>
              <w:pStyle w:val="InstructionsText"/>
            </w:pPr>
            <w:r>
              <w:t>Asetuksen (EU) N:o 575/2013 44, 45, 46 ja 49 artikla</w:t>
            </w:r>
          </w:p>
        </w:tc>
      </w:tr>
      <w:tr w:rsidR="00CC7D2C" w:rsidRPr="002A677E" w14:paraId="26F36F77" w14:textId="77777777" w:rsidTr="00822842">
        <w:tc>
          <w:tcPr>
            <w:tcW w:w="1474" w:type="dxa"/>
          </w:tcPr>
          <w:p w14:paraId="0AE1B36F" w14:textId="77777777" w:rsidR="00CC7D2C" w:rsidRPr="002A677E" w:rsidRDefault="00CC7D2C" w:rsidP="00320EFD">
            <w:pPr>
              <w:pStyle w:val="InstructionsText"/>
            </w:pPr>
            <w:r>
              <w:t>0240</w:t>
            </w:r>
          </w:p>
        </w:tc>
        <w:tc>
          <w:tcPr>
            <w:tcW w:w="7049" w:type="dxa"/>
          </w:tcPr>
          <w:p w14:paraId="0FAD571C" w14:textId="77777777" w:rsidR="00CC7D2C" w:rsidRPr="002A677E" w:rsidRDefault="00CC7D2C" w:rsidP="00320EFD">
            <w:pPr>
              <w:pStyle w:val="InstructionsText"/>
            </w:pPr>
            <w:r>
              <w:rPr>
                <w:rStyle w:val="InstructionsTabelleberschrift"/>
                <w:rFonts w:ascii="Times New Roman" w:hAnsi="Times New Roman"/>
                <w:sz w:val="24"/>
              </w:rPr>
              <w:t>12.1</w:t>
            </w:r>
            <w:r>
              <w:rPr>
                <w:rStyle w:val="InstructionsTabelleberschrift"/>
                <w:rFonts w:ascii="Times New Roman" w:hAnsi="Times New Roman"/>
                <w:sz w:val="24"/>
              </w:rPr>
              <w:tab/>
              <w:t>Suorat ydinpääoman (CET1) omistusosuudet sellaisissa finanssialan yhteisöissä, joissa laitoksella ei ole merkittävää sijoitusta</w:t>
            </w:r>
          </w:p>
          <w:p w14:paraId="07F396F8" w14:textId="77777777" w:rsidR="00CC7D2C" w:rsidRPr="002A677E" w:rsidRDefault="00CC7D2C" w:rsidP="00320EFD">
            <w:pPr>
              <w:pStyle w:val="InstructionsText"/>
            </w:pPr>
            <w:r>
              <w:t>Asetuksen (EU) N:o 575/2013 44, 45, 46 ja 49 artikla</w:t>
            </w:r>
          </w:p>
        </w:tc>
      </w:tr>
      <w:tr w:rsidR="00CC7D2C" w:rsidRPr="002A677E" w14:paraId="2EA80006" w14:textId="77777777" w:rsidTr="00822842">
        <w:tc>
          <w:tcPr>
            <w:tcW w:w="1474" w:type="dxa"/>
          </w:tcPr>
          <w:p w14:paraId="6407EF5F" w14:textId="77777777" w:rsidR="00CC7D2C" w:rsidRPr="002A677E" w:rsidRDefault="00CC7D2C" w:rsidP="00320EFD">
            <w:pPr>
              <w:pStyle w:val="InstructionsText"/>
            </w:pPr>
            <w:r>
              <w:t>0250</w:t>
            </w:r>
          </w:p>
        </w:tc>
        <w:tc>
          <w:tcPr>
            <w:tcW w:w="7049" w:type="dxa"/>
          </w:tcPr>
          <w:p w14:paraId="1F770E7B" w14:textId="77777777" w:rsidR="00CC7D2C" w:rsidRPr="002A677E" w:rsidRDefault="00CC7D2C" w:rsidP="00320EFD">
            <w:pPr>
              <w:pStyle w:val="InstructionsText"/>
            </w:pPr>
            <w:r>
              <w:rPr>
                <w:rStyle w:val="InstructionsTabelleberschrift"/>
                <w:rFonts w:ascii="Times New Roman" w:hAnsi="Times New Roman"/>
                <w:sz w:val="24"/>
              </w:rPr>
              <w:t>12.1.1</w:t>
            </w:r>
            <w:r>
              <w:rPr>
                <w:rStyle w:val="InstructionsTabelleberschrift"/>
                <w:rFonts w:ascii="Times New Roman" w:hAnsi="Times New Roman"/>
                <w:sz w:val="24"/>
              </w:rPr>
              <w:tab/>
              <w:t>Suorat ydinpääoman (CET1) omistusosuudet sellaisissa finanssialan yhteisöissä, joissa laitoksella ei ole merkittävää sijoitusta, brutto</w:t>
            </w:r>
          </w:p>
          <w:p w14:paraId="35734353" w14:textId="77777777" w:rsidR="00CC7D2C" w:rsidRPr="002A677E" w:rsidRDefault="00CC7D2C" w:rsidP="00320EFD">
            <w:pPr>
              <w:pStyle w:val="InstructionsText"/>
            </w:pPr>
            <w:r>
              <w:t>Asetuksen (EU) N:o 575/2013 44, 46 ja 49 artikla</w:t>
            </w:r>
          </w:p>
          <w:p w14:paraId="21EA9B4D" w14:textId="77777777" w:rsidR="00CC7D2C" w:rsidRPr="002A677E" w:rsidRDefault="00CC7D2C" w:rsidP="00320EFD">
            <w:pPr>
              <w:pStyle w:val="InstructionsText"/>
            </w:pPr>
            <w:r>
              <w:lastRenderedPageBreak/>
              <w:t>Tässä kohdassa tarkoitetaan suoria omistusosuuksia sellaisten finanssialan yhteisöjen ydinpääomasta (CET1), joissa laitoksella ei ole merkittävää sijoitusta. Niihin ei sisälly seuraavia:</w:t>
            </w:r>
          </w:p>
          <w:p w14:paraId="40548BC6" w14:textId="77777777" w:rsidR="00CC7D2C" w:rsidRPr="002A677E" w:rsidRDefault="00CC7D2C" w:rsidP="00320EFD">
            <w:pPr>
              <w:pStyle w:val="InstructionsText"/>
            </w:pPr>
            <w:r>
              <w:t>a)</w:t>
            </w:r>
            <w:r>
              <w:tab/>
              <w:t xml:space="preserve">merkintäsitoumuksia koskevat positiot, joita pidetään enintään viisi työpäivää; </w:t>
            </w:r>
          </w:p>
          <w:p w14:paraId="06830A9E" w14:textId="77777777" w:rsidR="00CC7D2C" w:rsidRPr="002A677E" w:rsidRDefault="00CC7D2C" w:rsidP="00320EFD">
            <w:pPr>
              <w:pStyle w:val="InstructionsText"/>
            </w:pPr>
            <w:r>
              <w:t>b)</w:t>
            </w:r>
            <w:r>
              <w:tab/>
              <w:t xml:space="preserve">määrät, jotka liittyvät sijoituksiin, joihin sovelletaan jotakin 49 artiklassa esitetyistä vaihtoehdoista; ja </w:t>
            </w:r>
          </w:p>
          <w:p w14:paraId="6C3B0126" w14:textId="77777777" w:rsidR="00CC7D2C" w:rsidRPr="002A677E" w:rsidRDefault="00CC7D2C" w:rsidP="00320EFD">
            <w:pPr>
              <w:pStyle w:val="InstructionsText"/>
            </w:pPr>
            <w:r>
              <w:t>c)</w:t>
            </w:r>
            <w:r>
              <w:tab/>
              <w:t>omistusosuudet, joita käsitellään keskinäisinä ristiinomistuksina asetuksen (EU) N:o 575/2013 36 artiklan 1 kohdan g alakohdan mukaisesti.</w:t>
            </w:r>
          </w:p>
        </w:tc>
      </w:tr>
      <w:tr w:rsidR="00CC7D2C" w:rsidRPr="002A677E" w14:paraId="029CB7B9" w14:textId="77777777" w:rsidTr="00822842">
        <w:tc>
          <w:tcPr>
            <w:tcW w:w="1474" w:type="dxa"/>
          </w:tcPr>
          <w:p w14:paraId="7E15AB56" w14:textId="77777777" w:rsidR="00CC7D2C" w:rsidRPr="002A677E" w:rsidRDefault="00CC7D2C" w:rsidP="00320EFD">
            <w:pPr>
              <w:pStyle w:val="InstructionsText"/>
            </w:pPr>
            <w:r>
              <w:lastRenderedPageBreak/>
              <w:t>0260</w:t>
            </w:r>
          </w:p>
        </w:tc>
        <w:tc>
          <w:tcPr>
            <w:tcW w:w="7049" w:type="dxa"/>
          </w:tcPr>
          <w:p w14:paraId="205AF52F" w14:textId="77777777" w:rsidR="00CC7D2C" w:rsidRPr="002A677E" w:rsidRDefault="00CC7D2C" w:rsidP="00320EFD">
            <w:pPr>
              <w:pStyle w:val="InstructionsText"/>
            </w:pPr>
            <w:r>
              <w:rPr>
                <w:rStyle w:val="InstructionsTabelleberschrift"/>
                <w:rFonts w:ascii="Times New Roman" w:hAnsi="Times New Roman"/>
                <w:sz w:val="24"/>
              </w:rPr>
              <w:t>12.1.2</w:t>
            </w:r>
            <w:r>
              <w:rPr>
                <w:rStyle w:val="InstructionsTabelleberschrift"/>
                <w:rFonts w:ascii="Times New Roman" w:hAnsi="Times New Roman"/>
                <w:sz w:val="24"/>
              </w:rPr>
              <w:tab/>
              <w:t>(-) Edellisiin suoriin bruttomääräisiin omistusosuuksiin liittyvät sallitut lyhyiden positioiden kuittaukset</w:t>
            </w:r>
          </w:p>
          <w:p w14:paraId="5C7CD820" w14:textId="77777777" w:rsidR="00CC7D2C" w:rsidRPr="002A677E" w:rsidRDefault="00CC7D2C" w:rsidP="00320EFD">
            <w:pPr>
              <w:pStyle w:val="InstructionsText"/>
            </w:pPr>
            <w:r>
              <w:t>Asetuksen (EU) N:o 575/2013 45 artikla</w:t>
            </w:r>
          </w:p>
          <w:p w14:paraId="3C7C2B7A" w14:textId="77777777" w:rsidR="00CC7D2C" w:rsidRPr="002A677E" w:rsidRDefault="00CC7D2C" w:rsidP="00320EFD">
            <w:pPr>
              <w:pStyle w:val="InstructionsText"/>
            </w:pPr>
            <w:r>
              <w:t>Asetuksen (EU) N:o 575/2013 45 artiklan a alakohdassa annetaan mahdollisuus kuitata lyhyet positiot samassa kohteena olevassa vastuussa edellyttäen, että lyhyen position erääntymispäivä on joko sama tai myöhempi kuin pitkän position erääntymispäivä tai lyhyen position jäljellä oleva maturiteetti on vähintään yksi vuosi.</w:t>
            </w:r>
          </w:p>
        </w:tc>
      </w:tr>
      <w:tr w:rsidR="00CC7D2C" w:rsidRPr="002A677E" w14:paraId="25EDF7FA" w14:textId="77777777" w:rsidTr="00822842">
        <w:tc>
          <w:tcPr>
            <w:tcW w:w="1474" w:type="dxa"/>
          </w:tcPr>
          <w:p w14:paraId="5140E3DC" w14:textId="77777777" w:rsidR="00CC7D2C" w:rsidRPr="002A677E" w:rsidRDefault="00CC7D2C" w:rsidP="00320EFD">
            <w:pPr>
              <w:pStyle w:val="InstructionsText"/>
            </w:pPr>
            <w:r>
              <w:t>0270</w:t>
            </w:r>
          </w:p>
        </w:tc>
        <w:tc>
          <w:tcPr>
            <w:tcW w:w="7049" w:type="dxa"/>
          </w:tcPr>
          <w:p w14:paraId="41725CD8" w14:textId="77777777" w:rsidR="00CC7D2C" w:rsidRPr="002A677E" w:rsidRDefault="00CC7D2C" w:rsidP="00320EFD">
            <w:pPr>
              <w:pStyle w:val="InstructionsText"/>
            </w:pPr>
            <w:r>
              <w:rPr>
                <w:rStyle w:val="InstructionsTabelleberschrift"/>
                <w:rFonts w:ascii="Times New Roman" w:hAnsi="Times New Roman"/>
                <w:sz w:val="24"/>
              </w:rPr>
              <w:t>12.2</w:t>
            </w:r>
            <w:r>
              <w:rPr>
                <w:rStyle w:val="InstructionsTabelleberschrift"/>
                <w:rFonts w:ascii="Times New Roman" w:hAnsi="Times New Roman"/>
                <w:sz w:val="24"/>
              </w:rPr>
              <w:tab/>
              <w:t>Välilliset ydinpääoman (CET1) omistusosuudet sellaisissa finanssialan yhteisöissä, joissa laitoksella ei ole merkittävää sijoitusta</w:t>
            </w:r>
          </w:p>
          <w:p w14:paraId="5B60A6DB" w14:textId="77777777" w:rsidR="00CC7D2C" w:rsidRPr="002A677E" w:rsidRDefault="00CC7D2C" w:rsidP="00320EFD">
            <w:pPr>
              <w:pStyle w:val="InstructionsText"/>
            </w:pPr>
            <w:r>
              <w:t>Asetuksen (EU) N:o 575/2013 4 artiklan 1 kohdan 114 alakohta sekä 44 ja 45 artikla</w:t>
            </w:r>
          </w:p>
        </w:tc>
      </w:tr>
      <w:tr w:rsidR="00CC7D2C" w:rsidRPr="002A677E" w14:paraId="72270045" w14:textId="77777777" w:rsidTr="00822842">
        <w:tc>
          <w:tcPr>
            <w:tcW w:w="1474" w:type="dxa"/>
          </w:tcPr>
          <w:p w14:paraId="354EF22F" w14:textId="77777777" w:rsidR="00CC7D2C" w:rsidRPr="002A677E" w:rsidRDefault="00CC7D2C" w:rsidP="00320EFD">
            <w:pPr>
              <w:pStyle w:val="InstructionsText"/>
            </w:pPr>
            <w:r>
              <w:t>0280</w:t>
            </w:r>
          </w:p>
        </w:tc>
        <w:tc>
          <w:tcPr>
            <w:tcW w:w="7049" w:type="dxa"/>
          </w:tcPr>
          <w:p w14:paraId="30ADD00A" w14:textId="77777777" w:rsidR="00CC7D2C" w:rsidRPr="002A677E" w:rsidRDefault="00CC7D2C" w:rsidP="00320EFD">
            <w:pPr>
              <w:pStyle w:val="InstructionsText"/>
            </w:pPr>
            <w:r>
              <w:rPr>
                <w:rStyle w:val="InstructionsTabelleberschrift"/>
                <w:rFonts w:ascii="Times New Roman" w:hAnsi="Times New Roman"/>
                <w:sz w:val="24"/>
              </w:rPr>
              <w:t>12.2.1</w:t>
            </w:r>
            <w:r>
              <w:rPr>
                <w:rStyle w:val="InstructionsTabelleberschrift"/>
                <w:rFonts w:ascii="Times New Roman" w:hAnsi="Times New Roman"/>
                <w:sz w:val="24"/>
              </w:rPr>
              <w:tab/>
              <w:t>Välilliset ydinpääoman (CET1) omistusosuudet sellaisissa finanssialan yhteisöissä, joissa laitoksella ei ole merkittävää sijoitusta, brutto</w:t>
            </w:r>
          </w:p>
          <w:p w14:paraId="1712D6BE" w14:textId="77777777" w:rsidR="00CC7D2C" w:rsidRPr="002A677E" w:rsidRDefault="00CC7D2C" w:rsidP="00320EFD">
            <w:pPr>
              <w:pStyle w:val="InstructionsText"/>
            </w:pPr>
            <w:r>
              <w:t>Asetuksen (EU) N:o 575/2013 4 artiklan 1 kohdan 114 alakohta sekä 44 ja 45 artikla</w:t>
            </w:r>
          </w:p>
          <w:p w14:paraId="48C4F8F6" w14:textId="77777777" w:rsidR="00CC7D2C" w:rsidRPr="002A677E" w:rsidRDefault="00CC7D2C" w:rsidP="00320EFD">
            <w:pPr>
              <w:pStyle w:val="InstructionsText"/>
            </w:pPr>
            <w:r>
              <w:t xml:space="preserve">Ilmoitettava määrä on niiden kaupankäyntivarastoon kuuluvien välillisten omistusosuuksien määrä, jotka laitoksella on finanssialan yhteisöjen </w:t>
            </w:r>
            <w:proofErr w:type="gramStart"/>
            <w:r>
              <w:t>pääomainstrumenteista</w:t>
            </w:r>
            <w:proofErr w:type="gramEnd"/>
            <w:r>
              <w:t xml:space="preserve"> ja jotka ovat muodoltaan omistusosuuksia indeksiarvopapereista. Tämä määrä saadaan laskemalla kohteena oleva vastuu, joka liittyy finanssialan yhteisöjen pääomainstrumentteihin kyseisissä indekseissä.</w:t>
            </w:r>
          </w:p>
          <w:p w14:paraId="478FC936" w14:textId="77777777" w:rsidR="00CC7D2C" w:rsidRPr="002A677E" w:rsidRDefault="00CC7D2C" w:rsidP="00320EFD">
            <w:pPr>
              <w:pStyle w:val="InstructionsText"/>
            </w:pPr>
            <w:r>
              <w:t>Kohtaan ei sisällytetä omistusosuuksia, joita käsitellään keskinäisinä ristiinomistuksina asetuksen (EU) N:o 575/2013 36 artiklan 1 kohdan g alakohdan mukaisesti.</w:t>
            </w:r>
          </w:p>
        </w:tc>
      </w:tr>
      <w:tr w:rsidR="00CC7D2C" w:rsidRPr="002A677E" w14:paraId="70929844" w14:textId="77777777" w:rsidTr="00822842">
        <w:trPr>
          <w:trHeight w:val="850"/>
        </w:trPr>
        <w:tc>
          <w:tcPr>
            <w:tcW w:w="1474" w:type="dxa"/>
          </w:tcPr>
          <w:p w14:paraId="5D42473C" w14:textId="77777777" w:rsidR="00CC7D2C" w:rsidRPr="002A677E" w:rsidRDefault="00CC7D2C" w:rsidP="00320EFD">
            <w:pPr>
              <w:pStyle w:val="InstructionsText"/>
            </w:pPr>
            <w:r>
              <w:t>0290</w:t>
            </w:r>
          </w:p>
        </w:tc>
        <w:tc>
          <w:tcPr>
            <w:tcW w:w="7049" w:type="dxa"/>
          </w:tcPr>
          <w:p w14:paraId="52B39F7D" w14:textId="77777777" w:rsidR="00CC7D2C" w:rsidRPr="002A677E" w:rsidRDefault="00CC7D2C" w:rsidP="00320EFD">
            <w:pPr>
              <w:pStyle w:val="InstructionsText"/>
            </w:pPr>
            <w:r>
              <w:rPr>
                <w:rStyle w:val="InstructionsTabelleberschrift"/>
                <w:rFonts w:ascii="Times New Roman" w:hAnsi="Times New Roman"/>
                <w:sz w:val="24"/>
              </w:rPr>
              <w:t>12.2.2</w:t>
            </w:r>
            <w:r>
              <w:rPr>
                <w:rStyle w:val="InstructionsTabelleberschrift"/>
                <w:rFonts w:ascii="Times New Roman" w:hAnsi="Times New Roman"/>
                <w:sz w:val="24"/>
              </w:rPr>
              <w:tab/>
              <w:t>(-) Edellisiin välillisiin bruttomääräisiin omistusosuuksiin liittyvät sallitut lyhyiden positioiden kuittaukset</w:t>
            </w:r>
          </w:p>
          <w:p w14:paraId="4FFA5E51" w14:textId="77777777" w:rsidR="00CC7D2C" w:rsidRPr="002A677E" w:rsidRDefault="00CC7D2C" w:rsidP="00320EFD">
            <w:pPr>
              <w:pStyle w:val="InstructionsText"/>
            </w:pPr>
            <w:r>
              <w:t>Asetuksen (EU) N:o 575/2013 4 artiklan 1 kohdan 114 alakohta ja 45 artikla</w:t>
            </w:r>
          </w:p>
          <w:p w14:paraId="53013672" w14:textId="77777777" w:rsidR="00CC7D2C" w:rsidRPr="002A677E" w:rsidRDefault="00CC7D2C" w:rsidP="00320EFD">
            <w:pPr>
              <w:pStyle w:val="InstructionsText"/>
            </w:pPr>
            <w:r>
              <w:lastRenderedPageBreak/>
              <w:t>Asetuksen (EU) N:o 575/2013 45 artiklan a alakohdassa annetaan mahdollisuus kuitata lyhyet positiot samassa kohteena olevassa vastuussa edellyttäen, että lyhyen position erääntymispäivä on joko sama tai myöhempi kuin pitkän position erääntymispäivä tai lyhyen position jäljellä oleva maturiteetti on vähintään yksi vuosi.</w:t>
            </w:r>
          </w:p>
        </w:tc>
      </w:tr>
      <w:tr w:rsidR="00CC7D2C" w:rsidRPr="002A677E" w14:paraId="1C10DCE6" w14:textId="77777777" w:rsidTr="00822842">
        <w:tc>
          <w:tcPr>
            <w:tcW w:w="1474" w:type="dxa"/>
          </w:tcPr>
          <w:p w14:paraId="42E85546" w14:textId="77777777" w:rsidR="00CC7D2C" w:rsidRPr="002A677E" w:rsidRDefault="00CC7D2C" w:rsidP="00320EFD">
            <w:pPr>
              <w:pStyle w:val="InstructionsText"/>
            </w:pPr>
            <w:r>
              <w:lastRenderedPageBreak/>
              <w:t>0291</w:t>
            </w:r>
          </w:p>
        </w:tc>
        <w:tc>
          <w:tcPr>
            <w:tcW w:w="7049" w:type="dxa"/>
            <w:vAlign w:val="center"/>
          </w:tcPr>
          <w:p w14:paraId="661C3FE9"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rPr>
                <w:rStyle w:val="InstructionsTabelleberschrift"/>
                <w:rFonts w:ascii="Times New Roman" w:hAnsi="Times New Roman"/>
                <w:sz w:val="24"/>
              </w:rPr>
              <w:tab/>
              <w:t>Synteettiset ydinpääoman (CET1) omistusosuudet sellaisissa finanssialan yhteisöissä, joissa laitoksella ei ole merkittävää sijoitusta</w:t>
            </w:r>
          </w:p>
          <w:p w14:paraId="64CCB38C"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Asetuksen (EU) N:o 575/2013 4 artiklan 1 kohdan 126 alakohta sekä 44 ja 45 artikla</w:t>
            </w:r>
          </w:p>
        </w:tc>
      </w:tr>
      <w:tr w:rsidR="00CC7D2C" w:rsidRPr="002A677E" w14:paraId="546A26BD" w14:textId="77777777" w:rsidTr="00822842">
        <w:tc>
          <w:tcPr>
            <w:tcW w:w="1474" w:type="dxa"/>
          </w:tcPr>
          <w:p w14:paraId="4DF731A1" w14:textId="77777777" w:rsidR="00CC7D2C" w:rsidRPr="002A677E" w:rsidRDefault="00CC7D2C" w:rsidP="00320EFD">
            <w:pPr>
              <w:pStyle w:val="InstructionsText"/>
            </w:pPr>
            <w:r>
              <w:t>0292</w:t>
            </w:r>
          </w:p>
        </w:tc>
        <w:tc>
          <w:tcPr>
            <w:tcW w:w="7049" w:type="dxa"/>
            <w:vAlign w:val="center"/>
          </w:tcPr>
          <w:p w14:paraId="1F37D1AB"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rPr>
                <w:rStyle w:val="InstructionsTabelleberschrift"/>
                <w:rFonts w:ascii="Times New Roman" w:hAnsi="Times New Roman"/>
                <w:sz w:val="24"/>
              </w:rPr>
              <w:tab/>
              <w:t>Synteettiset ydinpääoman (CET1) omistusosuudet sellaisissa finanssialan yhteisöissä, joissa laitoksella ei ole merkittävää sijoitusta, brutto</w:t>
            </w:r>
          </w:p>
          <w:p w14:paraId="3B736157"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Asetuksen (EU) N:o 575/2013 4 artiklan 1 kohdan 126 alakohta sekä 44 ja 45 artikla</w:t>
            </w:r>
          </w:p>
        </w:tc>
      </w:tr>
      <w:tr w:rsidR="00CC7D2C" w:rsidRPr="002A677E" w14:paraId="3479AAB0" w14:textId="77777777" w:rsidTr="00822842">
        <w:tc>
          <w:tcPr>
            <w:tcW w:w="1474" w:type="dxa"/>
          </w:tcPr>
          <w:p w14:paraId="075CFC3A" w14:textId="77777777" w:rsidR="00CC7D2C" w:rsidRPr="002A677E" w:rsidRDefault="00CC7D2C" w:rsidP="00320EFD">
            <w:pPr>
              <w:pStyle w:val="InstructionsText"/>
            </w:pPr>
            <w:r>
              <w:t>0293</w:t>
            </w:r>
          </w:p>
        </w:tc>
        <w:tc>
          <w:tcPr>
            <w:tcW w:w="7049" w:type="dxa"/>
            <w:vAlign w:val="center"/>
          </w:tcPr>
          <w:p w14:paraId="1544EF3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rPr>
                <w:rStyle w:val="InstructionsTabelleberschrift"/>
                <w:rFonts w:ascii="Times New Roman" w:hAnsi="Times New Roman"/>
                <w:sz w:val="24"/>
              </w:rPr>
              <w:tab/>
              <w:t>(-) Edellisiin synteettisiin bruttomääräisiin omistusosuuksiin liittyvät sallitut lyhyiden positioiden kuittaukset</w:t>
            </w:r>
          </w:p>
          <w:p w14:paraId="10993EDD"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Asetuksen (EU) N:o 575/2013 4 artiklan 1 kohdan 126 alakohta ja 45 artikla</w:t>
            </w:r>
          </w:p>
          <w:p w14:paraId="620D54C3" w14:textId="77777777" w:rsidR="00CC7D2C" w:rsidRPr="002A677E" w:rsidRDefault="00CC7D2C" w:rsidP="00320EFD">
            <w:pPr>
              <w:pStyle w:val="InstructionsText"/>
              <w:rPr>
                <w:rStyle w:val="InstructionsTabelleberschrift"/>
                <w:rFonts w:ascii="Times New Roman" w:hAnsi="Times New Roman"/>
                <w:b w:val="0"/>
                <w:sz w:val="24"/>
                <w:u w:val="none"/>
              </w:rPr>
            </w:pPr>
            <w:r>
              <w:t>Asetuksen (EU) N:o 575/2013 45 artiklan a alakohdassa annetaan mahdollisuus kuitata lyhyet positiot samassa kohteena olevassa vastuussa edellyttäen, että lyhyen position erääntymispäivä on joko sama tai myöhempi kuin pitkän position erääntymispäivä tai lyhyen position jäljellä oleva maturiteetti on vähintään yksi vuosi.</w:t>
            </w:r>
          </w:p>
        </w:tc>
      </w:tr>
      <w:tr w:rsidR="00CC7D2C" w:rsidRPr="002A677E" w14:paraId="49B8F446" w14:textId="77777777" w:rsidTr="00822842">
        <w:tc>
          <w:tcPr>
            <w:tcW w:w="1474" w:type="dxa"/>
          </w:tcPr>
          <w:p w14:paraId="3A95E05A" w14:textId="77777777" w:rsidR="00CC7D2C" w:rsidRPr="002A677E" w:rsidRDefault="00CC7D2C" w:rsidP="00320EFD">
            <w:pPr>
              <w:pStyle w:val="InstructionsText"/>
            </w:pPr>
            <w:r>
              <w:t>0300</w:t>
            </w:r>
          </w:p>
        </w:tc>
        <w:tc>
          <w:tcPr>
            <w:tcW w:w="7049" w:type="dxa"/>
          </w:tcPr>
          <w:p w14:paraId="22CCC24D"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Pr>
                <w:rStyle w:val="InstructionsTabelleberschrift"/>
                <w:rFonts w:ascii="Times New Roman" w:hAnsi="Times New Roman"/>
                <w:sz w:val="24"/>
              </w:rPr>
              <w:tab/>
              <w:t>Ensisijaisen lisäpääoman (AT1) omistusosuudet sellaisissa finanssialan yhteisöissä, joissa laitoksella ei ole merkittävää sijoitusta, vähennettyinä lyhyiden positioiden määrällä</w:t>
            </w:r>
          </w:p>
          <w:p w14:paraId="2446C324" w14:textId="77777777" w:rsidR="00CC7D2C" w:rsidRPr="002A677E" w:rsidRDefault="00CC7D2C" w:rsidP="00320EFD">
            <w:pPr>
              <w:pStyle w:val="InstructionsText"/>
            </w:pPr>
            <w:r>
              <w:t>Asetuksen (EU) N:o 575/2013 58, 59 ja 60 artikla</w:t>
            </w:r>
          </w:p>
        </w:tc>
      </w:tr>
      <w:tr w:rsidR="00CC7D2C" w:rsidRPr="002A677E" w14:paraId="630703DF" w14:textId="77777777" w:rsidTr="00822842">
        <w:tc>
          <w:tcPr>
            <w:tcW w:w="1474" w:type="dxa"/>
          </w:tcPr>
          <w:p w14:paraId="5780041C" w14:textId="77777777" w:rsidR="00CC7D2C" w:rsidRPr="002A677E" w:rsidRDefault="00CC7D2C" w:rsidP="00320EFD">
            <w:pPr>
              <w:pStyle w:val="InstructionsText"/>
            </w:pPr>
            <w:r>
              <w:t>0310</w:t>
            </w:r>
          </w:p>
        </w:tc>
        <w:tc>
          <w:tcPr>
            <w:tcW w:w="7049" w:type="dxa"/>
          </w:tcPr>
          <w:p w14:paraId="652A887A" w14:textId="77777777" w:rsidR="00CC7D2C" w:rsidRPr="002A677E" w:rsidRDefault="00CC7D2C" w:rsidP="00320EFD">
            <w:pPr>
              <w:pStyle w:val="InstructionsText"/>
            </w:pPr>
            <w:r>
              <w:rPr>
                <w:rStyle w:val="InstructionsTabelleberschrift"/>
                <w:rFonts w:ascii="Times New Roman" w:hAnsi="Times New Roman"/>
                <w:sz w:val="24"/>
              </w:rPr>
              <w:t>13.1</w:t>
            </w:r>
            <w:r>
              <w:rPr>
                <w:rStyle w:val="InstructionsTabelleberschrift"/>
                <w:rFonts w:ascii="Times New Roman" w:hAnsi="Times New Roman"/>
                <w:sz w:val="24"/>
              </w:rPr>
              <w:tab/>
              <w:t>Suorat ensisijaisen lisäpääoman (AT1) omistusosuudet sellaisissa finanssialan yhteisöissä, joissa laitoksella ei ole merkittävää sijoitusta</w:t>
            </w:r>
          </w:p>
          <w:p w14:paraId="2BC29626" w14:textId="77777777" w:rsidR="00CC7D2C" w:rsidRPr="002A677E" w:rsidRDefault="00CC7D2C" w:rsidP="00320EFD">
            <w:pPr>
              <w:pStyle w:val="InstructionsText"/>
            </w:pPr>
            <w:r>
              <w:t>Asetuksen (EU) N:o 575/2013 58 ja 59 artikla ja 60 artiklan 2 kohta</w:t>
            </w:r>
          </w:p>
        </w:tc>
      </w:tr>
      <w:tr w:rsidR="00CC7D2C" w:rsidRPr="002A677E" w14:paraId="2DD3B3A5" w14:textId="77777777" w:rsidTr="00822842">
        <w:tc>
          <w:tcPr>
            <w:tcW w:w="1474" w:type="dxa"/>
          </w:tcPr>
          <w:p w14:paraId="1F2C7A93" w14:textId="77777777" w:rsidR="00CC7D2C" w:rsidRPr="002A677E" w:rsidRDefault="00CC7D2C" w:rsidP="00320EFD">
            <w:pPr>
              <w:pStyle w:val="InstructionsText"/>
            </w:pPr>
            <w:r>
              <w:t>0320</w:t>
            </w:r>
          </w:p>
        </w:tc>
        <w:tc>
          <w:tcPr>
            <w:tcW w:w="7049" w:type="dxa"/>
          </w:tcPr>
          <w:p w14:paraId="086716D9" w14:textId="77777777" w:rsidR="00CC7D2C" w:rsidRPr="002A677E" w:rsidRDefault="00CC7D2C" w:rsidP="00320EFD">
            <w:pPr>
              <w:pStyle w:val="InstructionsText"/>
            </w:pPr>
            <w:r>
              <w:rPr>
                <w:rStyle w:val="InstructionsTabelleberschrift"/>
                <w:rFonts w:ascii="Times New Roman" w:hAnsi="Times New Roman"/>
                <w:sz w:val="24"/>
              </w:rPr>
              <w:t>13.1.1</w:t>
            </w:r>
            <w:r>
              <w:rPr>
                <w:rStyle w:val="InstructionsTabelleberschrift"/>
                <w:rFonts w:ascii="Times New Roman" w:hAnsi="Times New Roman"/>
                <w:sz w:val="24"/>
              </w:rPr>
              <w:tab/>
              <w:t>Suorat ensisijaisen lisäpääoman (AT1) omistusosuudet sellaisissa finanssialan yhteisöissä, joissa laitoksella ei ole merkittävää sijoitusta, brutto</w:t>
            </w:r>
          </w:p>
          <w:p w14:paraId="75E43435" w14:textId="77777777" w:rsidR="00CC7D2C" w:rsidRPr="002A677E" w:rsidRDefault="00CC7D2C" w:rsidP="00320EFD">
            <w:pPr>
              <w:pStyle w:val="InstructionsText"/>
            </w:pPr>
            <w:r>
              <w:t>Asetuksen (EU) N:o 575/2013 58 artikla ja 60 artiklan 2 kohta</w:t>
            </w:r>
          </w:p>
          <w:p w14:paraId="4EB3C9FE" w14:textId="77777777" w:rsidR="00CC7D2C" w:rsidRPr="002A677E" w:rsidRDefault="00CC7D2C" w:rsidP="00320EFD">
            <w:pPr>
              <w:pStyle w:val="InstructionsText"/>
            </w:pPr>
            <w:r>
              <w:t>Tässä kohdassa tarkoitetaan suoria omistusosuuksia sellaisten finanssialan yhteisöjen ensisijaisesta lisäpääomasta (AT1), joissa laitoksella ei ole merkittävää sijoitusta. Niihin ei sisälly seuraavia:</w:t>
            </w:r>
          </w:p>
          <w:p w14:paraId="6258EF1C" w14:textId="77777777" w:rsidR="00CC7D2C" w:rsidRPr="002A677E" w:rsidRDefault="00CC7D2C" w:rsidP="00320EFD">
            <w:pPr>
              <w:pStyle w:val="InstructionsText"/>
            </w:pPr>
            <w:r>
              <w:t>a)</w:t>
            </w:r>
            <w:r>
              <w:tab/>
              <w:t xml:space="preserve">merkintäsitoumuksia koskevat positiot, joita pidetään enintään viisi työpäivää; ja </w:t>
            </w:r>
          </w:p>
          <w:p w14:paraId="08D9FD36" w14:textId="77777777" w:rsidR="00CC7D2C" w:rsidRPr="002A677E" w:rsidRDefault="00CC7D2C" w:rsidP="00320EFD">
            <w:pPr>
              <w:pStyle w:val="InstructionsText"/>
            </w:pPr>
            <w:r>
              <w:lastRenderedPageBreak/>
              <w:t>b)</w:t>
            </w:r>
            <w:r>
              <w:tab/>
              <w:t>omistusosuudet, joita käsitellään keskinäisinä ristiinomistuksina asetuksen (EU) N:o 575/2013 56 artiklan b alakohdan mukaisesti.</w:t>
            </w:r>
          </w:p>
        </w:tc>
      </w:tr>
      <w:tr w:rsidR="00CC7D2C" w:rsidRPr="002A677E" w14:paraId="1085BDCA" w14:textId="77777777" w:rsidTr="00822842">
        <w:tc>
          <w:tcPr>
            <w:tcW w:w="1474" w:type="dxa"/>
          </w:tcPr>
          <w:p w14:paraId="2D9F8F2B" w14:textId="77777777" w:rsidR="00CC7D2C" w:rsidRPr="002A677E" w:rsidRDefault="00CC7D2C" w:rsidP="00320EFD">
            <w:pPr>
              <w:pStyle w:val="InstructionsText"/>
            </w:pPr>
            <w:r>
              <w:lastRenderedPageBreak/>
              <w:t>0330</w:t>
            </w:r>
          </w:p>
        </w:tc>
        <w:tc>
          <w:tcPr>
            <w:tcW w:w="7049" w:type="dxa"/>
          </w:tcPr>
          <w:p w14:paraId="5D44305F" w14:textId="77777777" w:rsidR="00CC7D2C" w:rsidRPr="002A677E" w:rsidRDefault="00CC7D2C" w:rsidP="00320EFD">
            <w:pPr>
              <w:pStyle w:val="InstructionsText"/>
            </w:pPr>
            <w:r>
              <w:rPr>
                <w:rStyle w:val="InstructionsTabelleberschrift"/>
                <w:rFonts w:ascii="Times New Roman" w:hAnsi="Times New Roman"/>
                <w:sz w:val="24"/>
              </w:rPr>
              <w:t>13.1.2</w:t>
            </w:r>
            <w:r>
              <w:rPr>
                <w:rStyle w:val="InstructionsTabelleberschrift"/>
                <w:rFonts w:ascii="Times New Roman" w:hAnsi="Times New Roman"/>
                <w:sz w:val="24"/>
              </w:rPr>
              <w:tab/>
              <w:t>(-) Edellisiin suoriin bruttomääräisiin omistusosuuksiin liittyvät sallitut lyhyiden positioiden kuittaukset</w:t>
            </w:r>
          </w:p>
          <w:p w14:paraId="1C009EDB" w14:textId="77777777" w:rsidR="00CC7D2C" w:rsidRPr="002A677E" w:rsidRDefault="00CC7D2C" w:rsidP="00320EFD">
            <w:pPr>
              <w:pStyle w:val="InstructionsText"/>
            </w:pPr>
            <w:r>
              <w:t>Asetuksen (EU) N:o 575/2013 59 artikla</w:t>
            </w:r>
          </w:p>
          <w:p w14:paraId="5EDAF213" w14:textId="77777777" w:rsidR="00CC7D2C" w:rsidRPr="002A677E" w:rsidRDefault="00CC7D2C" w:rsidP="00320EFD">
            <w:pPr>
              <w:pStyle w:val="InstructionsText"/>
            </w:pPr>
            <w:r>
              <w:t>Asetuksen (EU) N:o 575/2013 59 artiklan a alakohdassa annetaan mahdollisuus kuitata lyhyet positiot samassa kohteena olevassa vastuussa edellyttäen, että lyhyen position erääntymispäivä on joko sama tai myöhempi kuin pitkän position erääntymispäivä tai lyhyen position jäljellä oleva maturiteetti on vähintään yksi vuosi.</w:t>
            </w:r>
          </w:p>
        </w:tc>
      </w:tr>
      <w:tr w:rsidR="00CC7D2C" w:rsidRPr="002A677E" w14:paraId="11527949" w14:textId="77777777" w:rsidTr="00822842">
        <w:tc>
          <w:tcPr>
            <w:tcW w:w="1474" w:type="dxa"/>
          </w:tcPr>
          <w:p w14:paraId="75CE9DA9" w14:textId="77777777" w:rsidR="00CC7D2C" w:rsidRPr="002A677E" w:rsidRDefault="00CC7D2C" w:rsidP="00320EFD">
            <w:pPr>
              <w:pStyle w:val="InstructionsText"/>
            </w:pPr>
            <w:r>
              <w:t>0340</w:t>
            </w:r>
          </w:p>
        </w:tc>
        <w:tc>
          <w:tcPr>
            <w:tcW w:w="7049" w:type="dxa"/>
          </w:tcPr>
          <w:p w14:paraId="12834DD7" w14:textId="77777777" w:rsidR="00CC7D2C" w:rsidRPr="002A677E" w:rsidRDefault="00CC7D2C" w:rsidP="00320EFD">
            <w:pPr>
              <w:pStyle w:val="InstructionsText"/>
            </w:pPr>
            <w:r>
              <w:rPr>
                <w:rStyle w:val="InstructionsTabelleberschrift"/>
                <w:rFonts w:ascii="Times New Roman" w:hAnsi="Times New Roman"/>
                <w:sz w:val="24"/>
              </w:rPr>
              <w:t>13.2</w:t>
            </w:r>
            <w:r>
              <w:rPr>
                <w:rStyle w:val="InstructionsTabelleberschrift"/>
                <w:rFonts w:ascii="Times New Roman" w:hAnsi="Times New Roman"/>
                <w:sz w:val="24"/>
              </w:rPr>
              <w:tab/>
              <w:t>Välilliset ensisijaisen lisäpääoman (AT1) omistusosuudet sellaisissa finanssialan yhteisöissä, joissa laitoksella ei ole merkittävää sijoitusta</w:t>
            </w:r>
          </w:p>
          <w:p w14:paraId="524DE4E1" w14:textId="77777777" w:rsidR="00CC7D2C" w:rsidRPr="002A677E" w:rsidRDefault="00CC7D2C" w:rsidP="00320EFD">
            <w:pPr>
              <w:pStyle w:val="InstructionsText"/>
            </w:pPr>
            <w:r>
              <w:t>Asetuksen (EU) N:o 575/2013 4 artiklan 1 kohdan 114 alakohta sekä 58 ja 59 artikla</w:t>
            </w:r>
          </w:p>
        </w:tc>
      </w:tr>
      <w:tr w:rsidR="00CC7D2C" w:rsidRPr="002A677E" w14:paraId="779C9C51" w14:textId="77777777" w:rsidTr="00822842">
        <w:tc>
          <w:tcPr>
            <w:tcW w:w="1474" w:type="dxa"/>
          </w:tcPr>
          <w:p w14:paraId="2403AE6D" w14:textId="77777777" w:rsidR="00CC7D2C" w:rsidRPr="002A677E" w:rsidRDefault="00CC7D2C" w:rsidP="00320EFD">
            <w:pPr>
              <w:pStyle w:val="InstructionsText"/>
            </w:pPr>
            <w:r>
              <w:t>0350</w:t>
            </w:r>
          </w:p>
        </w:tc>
        <w:tc>
          <w:tcPr>
            <w:tcW w:w="7049" w:type="dxa"/>
          </w:tcPr>
          <w:p w14:paraId="3C475B52" w14:textId="77777777" w:rsidR="00CC7D2C" w:rsidRPr="002A677E" w:rsidRDefault="00CC7D2C" w:rsidP="00320EFD">
            <w:pPr>
              <w:pStyle w:val="InstructionsText"/>
            </w:pPr>
            <w:r>
              <w:rPr>
                <w:rStyle w:val="InstructionsTabelleberschrift"/>
                <w:rFonts w:ascii="Times New Roman" w:hAnsi="Times New Roman"/>
                <w:sz w:val="24"/>
              </w:rPr>
              <w:t>13.2.1</w:t>
            </w:r>
            <w:r>
              <w:rPr>
                <w:rStyle w:val="InstructionsTabelleberschrift"/>
                <w:rFonts w:ascii="Times New Roman" w:hAnsi="Times New Roman"/>
                <w:sz w:val="24"/>
              </w:rPr>
              <w:tab/>
              <w:t>Välilliset ensisijaisen lisäpääoman (AT1) omistusosuudet sellaisissa finanssialan yhteisöissä, joissa laitoksella ei ole merkittävää sijoitusta, brutto</w:t>
            </w:r>
          </w:p>
          <w:p w14:paraId="18873CD2" w14:textId="77777777" w:rsidR="00CC7D2C" w:rsidRPr="002A677E" w:rsidRDefault="00CC7D2C" w:rsidP="00320EFD">
            <w:pPr>
              <w:pStyle w:val="InstructionsText"/>
            </w:pPr>
            <w:r>
              <w:t>Asetuksen (EU) N:o 575/2013 4 artiklan 1 kohdan 114 alakohta sekä 58 ja 59 artikla</w:t>
            </w:r>
          </w:p>
          <w:p w14:paraId="17350A93" w14:textId="77777777" w:rsidR="00CC7D2C" w:rsidRPr="002A677E" w:rsidRDefault="00CC7D2C" w:rsidP="00320EFD">
            <w:pPr>
              <w:pStyle w:val="InstructionsText"/>
            </w:pPr>
            <w:r>
              <w:t xml:space="preserve">Ilmoitettava määrä on niiden kaupankäyntivarastoon kuuluvien välillisten omistusosuuksien määrä, jotka laitoksella on finanssialan yhteisöjen </w:t>
            </w:r>
            <w:proofErr w:type="gramStart"/>
            <w:r>
              <w:t>pääomainstrumenteista</w:t>
            </w:r>
            <w:proofErr w:type="gramEnd"/>
            <w:r>
              <w:t xml:space="preserve"> ja jotka ovat muodoltaan omistusosuuksia indeksiarvopapereista. Tämä määrä saadaan laskemalla kohteena oleva vastuu, joka liittyy finanssialan yhteisöjen pääomainstrumentteihin kyseisissä indekseissä.</w:t>
            </w:r>
          </w:p>
          <w:p w14:paraId="68E36B69" w14:textId="77777777" w:rsidR="00CC7D2C" w:rsidRPr="002A677E" w:rsidRDefault="00CC7D2C" w:rsidP="00320EFD">
            <w:pPr>
              <w:pStyle w:val="InstructionsText"/>
            </w:pPr>
            <w:r>
              <w:t>Kohtaan ei sisällytetä omistusosuuksia, joita käsitellään keskinäisinä ristiinomistuksina asetuksen (EU) N:o 575/2013 56 artiklan b alakohdan mukaisesti.</w:t>
            </w:r>
          </w:p>
        </w:tc>
      </w:tr>
      <w:tr w:rsidR="00CC7D2C" w:rsidRPr="002A677E" w14:paraId="7B68D862" w14:textId="77777777" w:rsidTr="00822842">
        <w:tc>
          <w:tcPr>
            <w:tcW w:w="1474" w:type="dxa"/>
          </w:tcPr>
          <w:p w14:paraId="4E25D552" w14:textId="77777777" w:rsidR="00CC7D2C" w:rsidRPr="002A677E" w:rsidRDefault="00CC7D2C" w:rsidP="00320EFD">
            <w:pPr>
              <w:pStyle w:val="InstructionsText"/>
            </w:pPr>
            <w:r>
              <w:t>0360</w:t>
            </w:r>
          </w:p>
        </w:tc>
        <w:tc>
          <w:tcPr>
            <w:tcW w:w="7049" w:type="dxa"/>
          </w:tcPr>
          <w:p w14:paraId="1C759B69" w14:textId="77777777" w:rsidR="00CC7D2C" w:rsidRPr="002A677E" w:rsidRDefault="00CC7D2C" w:rsidP="00320EFD">
            <w:pPr>
              <w:pStyle w:val="InstructionsText"/>
            </w:pPr>
            <w:r>
              <w:rPr>
                <w:rStyle w:val="InstructionsTabelleberschrift"/>
                <w:rFonts w:ascii="Times New Roman" w:hAnsi="Times New Roman"/>
                <w:sz w:val="24"/>
              </w:rPr>
              <w:t>13.2.2</w:t>
            </w:r>
            <w:r>
              <w:rPr>
                <w:rStyle w:val="InstructionsTabelleberschrift"/>
                <w:rFonts w:ascii="Times New Roman" w:hAnsi="Times New Roman"/>
                <w:sz w:val="24"/>
              </w:rPr>
              <w:tab/>
              <w:t>(-) Edellisiin välillisiin bruttomääräisiin omistusosuuksiin liittyvät sallitut lyhyiden positioiden kuittaukset</w:t>
            </w:r>
          </w:p>
          <w:p w14:paraId="66D7BED8" w14:textId="77777777" w:rsidR="00CC7D2C" w:rsidRPr="002A677E" w:rsidRDefault="00CC7D2C" w:rsidP="00320EFD">
            <w:pPr>
              <w:pStyle w:val="InstructionsText"/>
            </w:pPr>
            <w:r>
              <w:t>Asetuksen (EU) N:o 575/2013 4 artiklan 1 kohdan 114 alakohta ja 59 artikla</w:t>
            </w:r>
          </w:p>
          <w:p w14:paraId="7DC14B0B" w14:textId="77777777" w:rsidR="00CC7D2C" w:rsidRPr="002A677E" w:rsidRDefault="00CC7D2C" w:rsidP="00320EFD">
            <w:pPr>
              <w:pStyle w:val="InstructionsText"/>
            </w:pPr>
            <w:r>
              <w:t>Asetuksen (EU) N:o 575/2013 59 artiklan a alakohdassa annetaan mahdollisuus kuitata lyhyet positiot samassa kohteena olevassa vastuussa edellyttäen, että lyhyen position erääntymispäivä on joko sama tai myöhempi kuin pitkän position erääntymispäivä tai lyhyen position jäljellä oleva maturiteetti on vähintään yksi vuosi.</w:t>
            </w:r>
          </w:p>
        </w:tc>
      </w:tr>
      <w:tr w:rsidR="00CC7D2C" w:rsidRPr="002A677E" w14:paraId="1DE58E80" w14:textId="77777777" w:rsidTr="00822842">
        <w:tc>
          <w:tcPr>
            <w:tcW w:w="1474" w:type="dxa"/>
          </w:tcPr>
          <w:p w14:paraId="00421D51" w14:textId="77777777" w:rsidR="00CC7D2C" w:rsidRPr="002A677E" w:rsidRDefault="00CC7D2C" w:rsidP="00320EFD">
            <w:pPr>
              <w:pStyle w:val="InstructionsText"/>
            </w:pPr>
            <w:r>
              <w:t>0361</w:t>
            </w:r>
          </w:p>
        </w:tc>
        <w:tc>
          <w:tcPr>
            <w:tcW w:w="7049" w:type="dxa"/>
            <w:vAlign w:val="center"/>
          </w:tcPr>
          <w:p w14:paraId="036B6DB1" w14:textId="77777777" w:rsidR="00CC7D2C" w:rsidRPr="002A677E" w:rsidRDefault="00CC7D2C" w:rsidP="00320EFD">
            <w:pPr>
              <w:pStyle w:val="InstructionsText"/>
            </w:pPr>
            <w:r>
              <w:rPr>
                <w:rStyle w:val="InstructionsTabelleberschrift"/>
                <w:rFonts w:ascii="Times New Roman" w:hAnsi="Times New Roman"/>
                <w:sz w:val="24"/>
              </w:rPr>
              <w:t>13.3</w:t>
            </w:r>
            <w:r>
              <w:rPr>
                <w:rStyle w:val="InstructionsTabelleberschrift"/>
                <w:rFonts w:ascii="Times New Roman" w:hAnsi="Times New Roman"/>
                <w:sz w:val="24"/>
              </w:rPr>
              <w:tab/>
              <w:t>Synteettiset ensisijaisen lisäpääoman (AT1) omistusosuudet sellaisissa finanssialan yhteisöissä, joissa laitoksella ei ole merkittävää sijoitusta</w:t>
            </w:r>
          </w:p>
          <w:p w14:paraId="4B5BDACC" w14:textId="77777777" w:rsidR="00CC7D2C" w:rsidRPr="002A677E" w:rsidRDefault="00CC7D2C" w:rsidP="00320EFD">
            <w:pPr>
              <w:pStyle w:val="InstructionsText"/>
              <w:rPr>
                <w:rStyle w:val="InstructionsTabelleberschrift"/>
                <w:rFonts w:ascii="Times New Roman" w:hAnsi="Times New Roman"/>
                <w:b w:val="0"/>
                <w:bCs w:val="0"/>
                <w:sz w:val="24"/>
                <w:u w:val="none"/>
              </w:rPr>
            </w:pPr>
            <w:r>
              <w:lastRenderedPageBreak/>
              <w:t>Asetuksen (EU) N:o 575/2013 4 artiklan 1 kohdan 126 alakohta sekä 58 ja 59 artikla</w:t>
            </w:r>
          </w:p>
        </w:tc>
      </w:tr>
      <w:tr w:rsidR="00CC7D2C" w:rsidRPr="002A677E" w14:paraId="5DFCF3C7" w14:textId="77777777" w:rsidTr="00822842">
        <w:tc>
          <w:tcPr>
            <w:tcW w:w="1474" w:type="dxa"/>
          </w:tcPr>
          <w:p w14:paraId="0A9895A7" w14:textId="77777777" w:rsidR="00CC7D2C" w:rsidRPr="002A677E" w:rsidRDefault="00CC7D2C" w:rsidP="00320EFD">
            <w:pPr>
              <w:pStyle w:val="InstructionsText"/>
            </w:pPr>
            <w:r>
              <w:lastRenderedPageBreak/>
              <w:t>0362</w:t>
            </w:r>
          </w:p>
        </w:tc>
        <w:tc>
          <w:tcPr>
            <w:tcW w:w="7049" w:type="dxa"/>
            <w:vAlign w:val="center"/>
          </w:tcPr>
          <w:p w14:paraId="1AB1D048" w14:textId="77777777" w:rsidR="00CC7D2C" w:rsidRPr="002A677E" w:rsidRDefault="00CC7D2C" w:rsidP="00320EFD">
            <w:pPr>
              <w:pStyle w:val="InstructionsText"/>
            </w:pPr>
            <w:r>
              <w:rPr>
                <w:rStyle w:val="InstructionsTabelleberschrift"/>
                <w:rFonts w:ascii="Times New Roman" w:hAnsi="Times New Roman"/>
                <w:sz w:val="24"/>
              </w:rPr>
              <w:t>13.3.1</w:t>
            </w:r>
            <w:r>
              <w:rPr>
                <w:rStyle w:val="InstructionsTabelleberschrift"/>
                <w:rFonts w:ascii="Times New Roman" w:hAnsi="Times New Roman"/>
                <w:sz w:val="24"/>
              </w:rPr>
              <w:tab/>
              <w:t>Synteettiset ensisijaisen lisäpääoman (AT1) omistusosuudet sellaisissa finanssialan yhteisöissä, joissa laitoksella ei ole merkittävää sijoitusta, brutto</w:t>
            </w:r>
          </w:p>
          <w:p w14:paraId="32901EDE"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Asetuksen (EU) N:o 575/2013 4 artiklan 1 kohdan 126 alakohta sekä 58 ja 59 artikla</w:t>
            </w:r>
          </w:p>
        </w:tc>
      </w:tr>
      <w:tr w:rsidR="00CC7D2C" w:rsidRPr="002A677E" w14:paraId="68C6A097" w14:textId="77777777" w:rsidTr="00822842">
        <w:tc>
          <w:tcPr>
            <w:tcW w:w="1474" w:type="dxa"/>
          </w:tcPr>
          <w:p w14:paraId="4C20FDEC" w14:textId="77777777" w:rsidR="00CC7D2C" w:rsidRPr="002A677E" w:rsidRDefault="00CC7D2C" w:rsidP="00320EFD">
            <w:pPr>
              <w:pStyle w:val="InstructionsText"/>
            </w:pPr>
            <w:r>
              <w:t>0363</w:t>
            </w:r>
          </w:p>
        </w:tc>
        <w:tc>
          <w:tcPr>
            <w:tcW w:w="7049" w:type="dxa"/>
            <w:vAlign w:val="center"/>
          </w:tcPr>
          <w:p w14:paraId="28BA1E67" w14:textId="77777777" w:rsidR="00CC7D2C" w:rsidRPr="002A677E" w:rsidRDefault="00CC7D2C" w:rsidP="00320EFD">
            <w:pPr>
              <w:pStyle w:val="InstructionsText"/>
            </w:pPr>
            <w:r>
              <w:rPr>
                <w:rStyle w:val="InstructionsTabelleberschrift"/>
                <w:rFonts w:ascii="Times New Roman" w:hAnsi="Times New Roman"/>
                <w:sz w:val="24"/>
              </w:rPr>
              <w:t>13.3.2</w:t>
            </w:r>
            <w:r>
              <w:rPr>
                <w:rStyle w:val="InstructionsTabelleberschrift"/>
                <w:rFonts w:ascii="Times New Roman" w:hAnsi="Times New Roman"/>
                <w:sz w:val="24"/>
              </w:rPr>
              <w:tab/>
              <w:t>(-) Edellisiin synteettisiin bruttomääräisiin omistusosuuksiin liittyvät sallitut lyhyiden positioiden kuittaukset</w:t>
            </w:r>
          </w:p>
          <w:p w14:paraId="072D1CD4" w14:textId="77777777" w:rsidR="00CC7D2C" w:rsidRPr="002A677E" w:rsidRDefault="00CC7D2C" w:rsidP="00320EFD">
            <w:pPr>
              <w:pStyle w:val="InstructionsText"/>
            </w:pPr>
            <w:r>
              <w:t>Asetuksen (EU) N:o 575/2013 4 artiklan 1 kohdan 126 alakohta ja 59 artikla</w:t>
            </w:r>
          </w:p>
          <w:p w14:paraId="68B7A876"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Asetuksen (EU) N:o 575/2013 59 artiklan a alakohdassa annetaan mahdollisuus kuitata lyhyet positiot samassa kohteena olevassa vastuussa edellyttäen, että lyhyen position erääntymispäivä on joko sama tai myöhempi kuin pitkän position erääntymispäivä tai lyhyen position jäljellä oleva maturiteetti on vähintään yksi vuosi.</w:t>
            </w:r>
          </w:p>
        </w:tc>
      </w:tr>
      <w:tr w:rsidR="00CC7D2C" w:rsidRPr="002A677E" w14:paraId="74FB9FB1" w14:textId="77777777" w:rsidTr="00822842">
        <w:tc>
          <w:tcPr>
            <w:tcW w:w="1474" w:type="dxa"/>
          </w:tcPr>
          <w:p w14:paraId="270BA603" w14:textId="77777777" w:rsidR="00CC7D2C" w:rsidRPr="002A677E" w:rsidRDefault="00CC7D2C" w:rsidP="00320EFD">
            <w:pPr>
              <w:pStyle w:val="InstructionsText"/>
            </w:pPr>
            <w:r>
              <w:t>0370</w:t>
            </w:r>
          </w:p>
        </w:tc>
        <w:tc>
          <w:tcPr>
            <w:tcW w:w="7049" w:type="dxa"/>
          </w:tcPr>
          <w:p w14:paraId="04EC7CD0" w14:textId="77777777" w:rsidR="00CC7D2C" w:rsidRPr="002A677E" w:rsidRDefault="00CC7D2C" w:rsidP="00320EFD">
            <w:pPr>
              <w:pStyle w:val="InstructionsText"/>
            </w:pPr>
            <w:r>
              <w:rPr>
                <w:rStyle w:val="InstructionsTabelleberschrift"/>
                <w:rFonts w:ascii="Times New Roman" w:hAnsi="Times New Roman"/>
                <w:sz w:val="24"/>
              </w:rPr>
              <w:t>14.</w:t>
            </w:r>
            <w:r>
              <w:rPr>
                <w:rStyle w:val="InstructionsTabelleberschrift"/>
                <w:rFonts w:ascii="Times New Roman" w:hAnsi="Times New Roman"/>
                <w:sz w:val="24"/>
              </w:rPr>
              <w:tab/>
              <w:t>Toissijaisen pääoman (T2) omistusosuudet sellaisissa finanssialan yhteisöissä, joissa laitoksella ei ole merkittävää sijoitusta, vähennettyinä lyhyiden positioiden määrällä</w:t>
            </w:r>
          </w:p>
          <w:p w14:paraId="7F7CE21E" w14:textId="77777777" w:rsidR="00CC7D2C" w:rsidRPr="002A677E" w:rsidRDefault="00CC7D2C" w:rsidP="00320EFD">
            <w:pPr>
              <w:pStyle w:val="InstructionsText"/>
            </w:pPr>
            <w:r>
              <w:t>Asetuksen (EU) N:o 575/2013 68, 69 ja 70 artikla</w:t>
            </w:r>
          </w:p>
        </w:tc>
      </w:tr>
      <w:tr w:rsidR="00CC7D2C" w:rsidRPr="002A677E" w14:paraId="3575655C" w14:textId="77777777" w:rsidTr="00822842">
        <w:tc>
          <w:tcPr>
            <w:tcW w:w="1474" w:type="dxa"/>
          </w:tcPr>
          <w:p w14:paraId="742A40CF" w14:textId="77777777" w:rsidR="00CC7D2C" w:rsidRPr="002A677E" w:rsidRDefault="00CC7D2C" w:rsidP="00320EFD">
            <w:pPr>
              <w:pStyle w:val="InstructionsText"/>
            </w:pPr>
            <w:r>
              <w:t>0380</w:t>
            </w:r>
          </w:p>
        </w:tc>
        <w:tc>
          <w:tcPr>
            <w:tcW w:w="7049" w:type="dxa"/>
          </w:tcPr>
          <w:p w14:paraId="14053A9D" w14:textId="77777777" w:rsidR="00CC7D2C" w:rsidRPr="002A677E" w:rsidRDefault="00CC7D2C" w:rsidP="00320EFD">
            <w:pPr>
              <w:pStyle w:val="InstructionsText"/>
            </w:pPr>
            <w:r>
              <w:rPr>
                <w:rStyle w:val="InstructionsTabelleberschrift"/>
                <w:rFonts w:ascii="Times New Roman" w:hAnsi="Times New Roman"/>
                <w:sz w:val="24"/>
              </w:rPr>
              <w:t>14.1</w:t>
            </w:r>
            <w:r>
              <w:rPr>
                <w:rStyle w:val="InstructionsTabelleberschrift"/>
                <w:rFonts w:ascii="Times New Roman" w:hAnsi="Times New Roman"/>
                <w:sz w:val="24"/>
              </w:rPr>
              <w:tab/>
              <w:t>Suorat toissijaisen pääoman (T2) omistusosuudet sellaisissa finanssialan yhteisöissä, joissa laitoksella ei ole merkittävää sijoitusta</w:t>
            </w:r>
          </w:p>
          <w:p w14:paraId="27A664CA" w14:textId="77777777" w:rsidR="00CC7D2C" w:rsidRPr="002A677E" w:rsidRDefault="00CC7D2C" w:rsidP="00320EFD">
            <w:pPr>
              <w:pStyle w:val="InstructionsText"/>
            </w:pPr>
            <w:r>
              <w:t>Asetuksen (EU) N:o 575/2013 68 ja 69 artikla ja 70 artiklan 2 kohta</w:t>
            </w:r>
          </w:p>
        </w:tc>
      </w:tr>
      <w:tr w:rsidR="00CC7D2C" w:rsidRPr="002A677E" w14:paraId="7A4D414E" w14:textId="77777777" w:rsidTr="00822842">
        <w:tc>
          <w:tcPr>
            <w:tcW w:w="1474" w:type="dxa"/>
          </w:tcPr>
          <w:p w14:paraId="73BE5B4D" w14:textId="77777777" w:rsidR="00CC7D2C" w:rsidRPr="002A677E" w:rsidRDefault="00CC7D2C" w:rsidP="00320EFD">
            <w:pPr>
              <w:pStyle w:val="InstructionsText"/>
            </w:pPr>
            <w:r>
              <w:t>0390</w:t>
            </w:r>
          </w:p>
        </w:tc>
        <w:tc>
          <w:tcPr>
            <w:tcW w:w="7049" w:type="dxa"/>
          </w:tcPr>
          <w:p w14:paraId="68C193DA" w14:textId="77777777" w:rsidR="00CC7D2C" w:rsidRPr="002A677E" w:rsidRDefault="00CC7D2C" w:rsidP="00320EFD">
            <w:pPr>
              <w:pStyle w:val="InstructionsText"/>
            </w:pPr>
            <w:r>
              <w:rPr>
                <w:rStyle w:val="InstructionsTabelleberschrift"/>
                <w:rFonts w:ascii="Times New Roman" w:hAnsi="Times New Roman"/>
                <w:sz w:val="24"/>
              </w:rPr>
              <w:t>14.1.1</w:t>
            </w:r>
            <w:r>
              <w:rPr>
                <w:rStyle w:val="InstructionsTabelleberschrift"/>
                <w:rFonts w:ascii="Times New Roman" w:hAnsi="Times New Roman"/>
                <w:sz w:val="24"/>
              </w:rPr>
              <w:tab/>
              <w:t>Suorat toissijaisen pääoman (T2) omistusosuudet sellaisissa finanssialan yhteisöissä, joissa laitoksella ei ole merkittävää sijoitusta, brutto</w:t>
            </w:r>
          </w:p>
          <w:p w14:paraId="65520E33" w14:textId="77777777" w:rsidR="00CC7D2C" w:rsidRPr="002A677E" w:rsidRDefault="00CC7D2C" w:rsidP="00320EFD">
            <w:pPr>
              <w:pStyle w:val="InstructionsText"/>
            </w:pPr>
            <w:r>
              <w:t>Asetuksen (EU) N:o 575/2013 68 artikla ja 70 artiklan 2 kohta</w:t>
            </w:r>
          </w:p>
          <w:p w14:paraId="17F7ABF9" w14:textId="77777777" w:rsidR="00CC7D2C" w:rsidRPr="002A677E" w:rsidRDefault="00CC7D2C" w:rsidP="00320EFD">
            <w:pPr>
              <w:pStyle w:val="InstructionsText"/>
            </w:pPr>
            <w:r>
              <w:t>Tässä kohdassa tarkoitetaan suoria omistusosuuksia sellaisten finanssialan yhteisöjen toissijaisesta pääomasta (T2), joissa laitoksella ei ole merkittävää sijoitusta. Niihin ei sisälly seuraavia:</w:t>
            </w:r>
          </w:p>
          <w:p w14:paraId="138D2316" w14:textId="77777777" w:rsidR="00CC7D2C" w:rsidRPr="002A677E" w:rsidRDefault="00CC7D2C" w:rsidP="00320EFD">
            <w:pPr>
              <w:pStyle w:val="InstructionsText"/>
            </w:pPr>
            <w:r>
              <w:t>a)</w:t>
            </w:r>
            <w:r>
              <w:tab/>
              <w:t xml:space="preserve">merkintäsitoumuksia koskevat positiot, joita pidetään enintään viisi työpäivää; ja </w:t>
            </w:r>
          </w:p>
          <w:p w14:paraId="2887BC3D" w14:textId="77777777" w:rsidR="00CC7D2C" w:rsidRPr="002A677E" w:rsidRDefault="00CC7D2C" w:rsidP="00320EFD">
            <w:pPr>
              <w:pStyle w:val="InstructionsText"/>
            </w:pPr>
            <w:r>
              <w:t>b)</w:t>
            </w:r>
            <w:r>
              <w:tab/>
              <w:t>omistusosuudet, joita käsitellään keskinäisinä ristiinomistuksina asetuksen (EU) N:o 575/2013 66 artiklan b alakohdan mukaisesti.</w:t>
            </w:r>
          </w:p>
        </w:tc>
      </w:tr>
      <w:tr w:rsidR="00CC7D2C" w:rsidRPr="002A677E" w14:paraId="5F3D0269" w14:textId="77777777" w:rsidTr="00822842">
        <w:tc>
          <w:tcPr>
            <w:tcW w:w="1474" w:type="dxa"/>
          </w:tcPr>
          <w:p w14:paraId="00CF42AE" w14:textId="77777777" w:rsidR="00CC7D2C" w:rsidRPr="002A677E" w:rsidRDefault="00CC7D2C" w:rsidP="00320EFD">
            <w:pPr>
              <w:pStyle w:val="InstructionsText"/>
            </w:pPr>
            <w:r>
              <w:t>0400</w:t>
            </w:r>
          </w:p>
        </w:tc>
        <w:tc>
          <w:tcPr>
            <w:tcW w:w="7049" w:type="dxa"/>
          </w:tcPr>
          <w:p w14:paraId="2A3DABB5" w14:textId="77777777" w:rsidR="00CC7D2C" w:rsidRPr="002A677E" w:rsidRDefault="00CC7D2C" w:rsidP="00320EFD">
            <w:pPr>
              <w:pStyle w:val="InstructionsText"/>
            </w:pPr>
            <w:r>
              <w:rPr>
                <w:rStyle w:val="InstructionsTabelleberschrift"/>
                <w:rFonts w:ascii="Times New Roman" w:hAnsi="Times New Roman"/>
                <w:sz w:val="24"/>
              </w:rPr>
              <w:t>14.1.2</w:t>
            </w:r>
            <w:r>
              <w:rPr>
                <w:rStyle w:val="InstructionsTabelleberschrift"/>
                <w:rFonts w:ascii="Times New Roman" w:hAnsi="Times New Roman"/>
                <w:sz w:val="24"/>
              </w:rPr>
              <w:tab/>
              <w:t>(-) Edellisiin suoriin bruttomääräisiin omistusosuuksiin liittyvät sallitut lyhyiden positioiden kuittaukset</w:t>
            </w:r>
          </w:p>
          <w:p w14:paraId="1AF115D3" w14:textId="77777777" w:rsidR="00CC7D2C" w:rsidRPr="002A677E" w:rsidRDefault="00CC7D2C" w:rsidP="00320EFD">
            <w:pPr>
              <w:pStyle w:val="InstructionsText"/>
            </w:pPr>
            <w:r>
              <w:t>Asetuksen (EU) N:o 575/2013 69 artikla</w:t>
            </w:r>
          </w:p>
          <w:p w14:paraId="2DDF012E" w14:textId="77777777" w:rsidR="00CC7D2C" w:rsidRPr="002A677E" w:rsidRDefault="00CC7D2C" w:rsidP="00320EFD">
            <w:pPr>
              <w:pStyle w:val="InstructionsText"/>
            </w:pPr>
            <w:r>
              <w:lastRenderedPageBreak/>
              <w:t>Asetuksen (EU) N:o 575/2013 69 artiklan a alakohdassa annetaan mahdollisuus kuitata lyhyet positiot samassa kohteena olevassa vastuussa edellyttäen, että lyhyen position erääntymispäivä on joko sama tai myöhempi kuin pitkän position erääntymispäivä tai lyhyen position jäljellä oleva maturiteetti on vähintään yksi vuosi.</w:t>
            </w:r>
          </w:p>
        </w:tc>
      </w:tr>
      <w:tr w:rsidR="00CC7D2C" w:rsidRPr="002A677E" w14:paraId="6EC67C75" w14:textId="77777777" w:rsidTr="00822842">
        <w:tc>
          <w:tcPr>
            <w:tcW w:w="1474" w:type="dxa"/>
          </w:tcPr>
          <w:p w14:paraId="42925D49" w14:textId="77777777" w:rsidR="00CC7D2C" w:rsidRPr="002A677E" w:rsidRDefault="00CC7D2C" w:rsidP="00320EFD">
            <w:pPr>
              <w:pStyle w:val="InstructionsText"/>
            </w:pPr>
            <w:r>
              <w:lastRenderedPageBreak/>
              <w:t>0410</w:t>
            </w:r>
          </w:p>
        </w:tc>
        <w:tc>
          <w:tcPr>
            <w:tcW w:w="7049" w:type="dxa"/>
          </w:tcPr>
          <w:p w14:paraId="0411814E" w14:textId="77777777" w:rsidR="00CC7D2C" w:rsidRPr="002A677E" w:rsidRDefault="00CC7D2C" w:rsidP="00320EFD">
            <w:pPr>
              <w:pStyle w:val="InstructionsText"/>
            </w:pPr>
            <w:r>
              <w:rPr>
                <w:rStyle w:val="InstructionsTabelleberschrift"/>
                <w:rFonts w:ascii="Times New Roman" w:hAnsi="Times New Roman"/>
                <w:sz w:val="24"/>
              </w:rPr>
              <w:t>14.2</w:t>
            </w:r>
            <w:r>
              <w:rPr>
                <w:rStyle w:val="InstructionsTabelleberschrift"/>
                <w:rFonts w:ascii="Times New Roman" w:hAnsi="Times New Roman"/>
                <w:sz w:val="24"/>
              </w:rPr>
              <w:tab/>
              <w:t>Välilliset toissijaisen pääoman (T2) omistusosuudet sellaisissa finanssialan yhteisöissä, joissa laitoksella ei ole merkittävää sijoitusta</w:t>
            </w:r>
          </w:p>
          <w:p w14:paraId="2E9A4143" w14:textId="77777777" w:rsidR="00CC7D2C" w:rsidRPr="002A677E" w:rsidRDefault="00CC7D2C" w:rsidP="00320EFD">
            <w:pPr>
              <w:pStyle w:val="InstructionsText"/>
            </w:pPr>
            <w:r>
              <w:t>Asetuksen (EU) N:o 575/2013 4 artiklan 1 kohdan 114 alakohta sekä 68 ja 69 artikla</w:t>
            </w:r>
          </w:p>
        </w:tc>
      </w:tr>
      <w:tr w:rsidR="00CC7D2C" w:rsidRPr="002A677E" w14:paraId="494E5F97" w14:textId="77777777" w:rsidTr="00822842">
        <w:tc>
          <w:tcPr>
            <w:tcW w:w="1474" w:type="dxa"/>
          </w:tcPr>
          <w:p w14:paraId="4FA17B88" w14:textId="77777777" w:rsidR="00CC7D2C" w:rsidRPr="002A677E" w:rsidRDefault="00CC7D2C" w:rsidP="00320EFD">
            <w:pPr>
              <w:pStyle w:val="InstructionsText"/>
            </w:pPr>
            <w:r>
              <w:t>0420</w:t>
            </w:r>
          </w:p>
        </w:tc>
        <w:tc>
          <w:tcPr>
            <w:tcW w:w="7049" w:type="dxa"/>
          </w:tcPr>
          <w:p w14:paraId="010CE0F5" w14:textId="77777777" w:rsidR="00CC7D2C" w:rsidRPr="002A677E" w:rsidRDefault="00CC7D2C" w:rsidP="00320EFD">
            <w:pPr>
              <w:pStyle w:val="InstructionsText"/>
            </w:pPr>
            <w:r>
              <w:rPr>
                <w:rStyle w:val="InstructionsTabelleberschrift"/>
                <w:rFonts w:ascii="Times New Roman" w:hAnsi="Times New Roman"/>
                <w:sz w:val="24"/>
              </w:rPr>
              <w:t>14.2.1</w:t>
            </w:r>
            <w:r>
              <w:rPr>
                <w:rStyle w:val="InstructionsTabelleberschrift"/>
                <w:rFonts w:ascii="Times New Roman" w:hAnsi="Times New Roman"/>
                <w:sz w:val="24"/>
              </w:rPr>
              <w:tab/>
              <w:t>Välilliset toissijaisen pääoman (T2) omistusosuudet sellaisissa finanssialan yhteisöissä, joissa laitoksella ei ole merkittävää sijoitusta, brutto</w:t>
            </w:r>
          </w:p>
          <w:p w14:paraId="661ED498" w14:textId="77777777" w:rsidR="00CC7D2C" w:rsidRPr="002A677E" w:rsidRDefault="00CC7D2C" w:rsidP="00320EFD">
            <w:pPr>
              <w:pStyle w:val="InstructionsText"/>
            </w:pPr>
            <w:r>
              <w:t>Asetuksen (EU) N:o 575/2013 4 artiklan 1 kohdan 114 alakohta sekä 68 ja 69 artikla</w:t>
            </w:r>
          </w:p>
          <w:p w14:paraId="47CEB0E6" w14:textId="77777777" w:rsidR="00CC7D2C" w:rsidRPr="002A677E" w:rsidRDefault="00CC7D2C" w:rsidP="00320EFD">
            <w:pPr>
              <w:pStyle w:val="InstructionsText"/>
            </w:pPr>
            <w:r>
              <w:t xml:space="preserve">Ilmoitettava määrä on niiden kaupankäyntivarastoon kuuluvien välillisten omistusosuuksien määrä, jotka laitoksella on finanssialan yhteisöjen </w:t>
            </w:r>
            <w:proofErr w:type="gramStart"/>
            <w:r>
              <w:t>pääomainstrumenteista</w:t>
            </w:r>
            <w:proofErr w:type="gramEnd"/>
            <w:r>
              <w:t xml:space="preserve"> ja jotka ovat muodoltaan omistusosuuksia indeksiarvopapereista. Tämä määrä saadaan laskemalla kohteena oleva vastuu, joka liittyy finanssialan yhteisöjen pääomainstrumentteihin kyseisissä indekseissä.</w:t>
            </w:r>
          </w:p>
          <w:p w14:paraId="5F653926" w14:textId="77777777" w:rsidR="00CC7D2C" w:rsidRPr="002A677E" w:rsidRDefault="00CC7D2C" w:rsidP="00320EFD">
            <w:pPr>
              <w:pStyle w:val="InstructionsText"/>
            </w:pPr>
            <w:r>
              <w:t>Kohtaan ei sisällytetä omistusosuuksia, joita käsitellään keskinäisinä ristiinomistuksina asetuksen (EU) N:o 575/2013 66 artiklan b alakohdan mukaisesti.</w:t>
            </w:r>
          </w:p>
        </w:tc>
      </w:tr>
      <w:tr w:rsidR="00CC7D2C" w:rsidRPr="002A677E" w14:paraId="5466EA1E" w14:textId="77777777" w:rsidTr="00822842">
        <w:tc>
          <w:tcPr>
            <w:tcW w:w="1474" w:type="dxa"/>
          </w:tcPr>
          <w:p w14:paraId="5EB5F633" w14:textId="77777777" w:rsidR="00CC7D2C" w:rsidRPr="002A677E" w:rsidRDefault="00CC7D2C" w:rsidP="00320EFD">
            <w:pPr>
              <w:pStyle w:val="InstructionsText"/>
            </w:pPr>
            <w:r>
              <w:t>0430</w:t>
            </w:r>
          </w:p>
        </w:tc>
        <w:tc>
          <w:tcPr>
            <w:tcW w:w="7049" w:type="dxa"/>
          </w:tcPr>
          <w:p w14:paraId="05B2F446" w14:textId="77777777" w:rsidR="00CC7D2C" w:rsidRPr="002A677E" w:rsidRDefault="00CC7D2C" w:rsidP="00320EFD">
            <w:pPr>
              <w:pStyle w:val="InstructionsText"/>
            </w:pPr>
            <w:r>
              <w:rPr>
                <w:rStyle w:val="InstructionsTabelleberschrift"/>
                <w:rFonts w:ascii="Times New Roman" w:hAnsi="Times New Roman"/>
                <w:sz w:val="24"/>
              </w:rPr>
              <w:t>14.2.2</w:t>
            </w:r>
            <w:r>
              <w:rPr>
                <w:rStyle w:val="InstructionsTabelleberschrift"/>
                <w:rFonts w:ascii="Times New Roman" w:hAnsi="Times New Roman"/>
                <w:sz w:val="24"/>
              </w:rPr>
              <w:tab/>
              <w:t>(-) Edellisiin välillisiin bruttomääräisiin omistusosuuksiin liittyvät sallitut lyhyiden positioiden kuittaukset</w:t>
            </w:r>
          </w:p>
          <w:p w14:paraId="3D51CA91" w14:textId="77777777" w:rsidR="00CC7D2C" w:rsidRPr="002A677E" w:rsidRDefault="00CC7D2C" w:rsidP="00320EFD">
            <w:pPr>
              <w:pStyle w:val="InstructionsText"/>
            </w:pPr>
            <w:r>
              <w:t>Asetuksen (EU) N:o 575/2013 4 artiklan 1 kohdan 114 alakohta ja 69 artikla</w:t>
            </w:r>
          </w:p>
          <w:p w14:paraId="05D4EBCE" w14:textId="77777777" w:rsidR="00CC7D2C" w:rsidRPr="002A677E" w:rsidRDefault="00CC7D2C" w:rsidP="00320EFD">
            <w:pPr>
              <w:pStyle w:val="InstructionsText"/>
            </w:pPr>
            <w:r>
              <w:t>Asetuksen (EU) N:o 575/2013 69 artiklan a alakohdassa annetaan mahdollisuus kuitata lyhyet positiot samassa kohteena olevassa vastuussa edellyttäen, että lyhyen position erääntymispäivä on joko sama tai myöhempi kuin pitkän position erääntymispäivä tai lyhyen position jäljellä oleva maturiteetti on vähintään yksi vuosi.</w:t>
            </w:r>
          </w:p>
        </w:tc>
      </w:tr>
      <w:tr w:rsidR="00CC7D2C" w:rsidRPr="002A677E" w14:paraId="4925BD96" w14:textId="77777777" w:rsidTr="00822842">
        <w:tc>
          <w:tcPr>
            <w:tcW w:w="1474" w:type="dxa"/>
          </w:tcPr>
          <w:p w14:paraId="0B306827" w14:textId="77777777" w:rsidR="00CC7D2C" w:rsidRPr="002A677E" w:rsidRDefault="00CC7D2C" w:rsidP="00320EFD">
            <w:pPr>
              <w:pStyle w:val="InstructionsText"/>
            </w:pPr>
            <w:r>
              <w:t>0431</w:t>
            </w:r>
          </w:p>
        </w:tc>
        <w:tc>
          <w:tcPr>
            <w:tcW w:w="7049" w:type="dxa"/>
          </w:tcPr>
          <w:p w14:paraId="5B185F2E" w14:textId="77777777" w:rsidR="00CC7D2C" w:rsidRPr="002A677E" w:rsidRDefault="00CC7D2C" w:rsidP="00320EFD">
            <w:pPr>
              <w:pStyle w:val="InstructionsText"/>
            </w:pPr>
            <w:r>
              <w:rPr>
                <w:rStyle w:val="InstructionsTabelleberschrift"/>
                <w:rFonts w:ascii="Times New Roman" w:hAnsi="Times New Roman"/>
                <w:sz w:val="24"/>
              </w:rPr>
              <w:t>14.3</w:t>
            </w:r>
            <w:r>
              <w:rPr>
                <w:rStyle w:val="InstructionsTabelleberschrift"/>
                <w:rFonts w:ascii="Times New Roman" w:hAnsi="Times New Roman"/>
                <w:sz w:val="24"/>
              </w:rPr>
              <w:tab/>
              <w:t>Synteettiset toissijaisen pääoman (T2) omistusosuudet sellaisissa finanssialan yhteisöissä, joissa laitoksella ei ole merkittävää sijoitusta</w:t>
            </w:r>
          </w:p>
          <w:p w14:paraId="51085EB2" w14:textId="77777777" w:rsidR="00CC7D2C" w:rsidRPr="002A677E" w:rsidRDefault="00CC7D2C" w:rsidP="00320EFD">
            <w:pPr>
              <w:pStyle w:val="InstructionsText"/>
              <w:rPr>
                <w:rStyle w:val="InstructionsTabelleberschrift"/>
                <w:rFonts w:ascii="Times New Roman" w:hAnsi="Times New Roman"/>
                <w:sz w:val="24"/>
              </w:rPr>
            </w:pPr>
            <w:r>
              <w:t>Asetuksen (EU) N:o 575/2013 4 artiklan 1 kohdan 126 alakohta sekä 68 ja 69 artikla</w:t>
            </w:r>
          </w:p>
        </w:tc>
      </w:tr>
      <w:tr w:rsidR="00CC7D2C" w:rsidRPr="002A677E" w14:paraId="505DDB25" w14:textId="77777777" w:rsidTr="00822842">
        <w:tc>
          <w:tcPr>
            <w:tcW w:w="1474" w:type="dxa"/>
          </w:tcPr>
          <w:p w14:paraId="47E7050C" w14:textId="77777777" w:rsidR="00CC7D2C" w:rsidRPr="002A677E" w:rsidRDefault="00CC7D2C" w:rsidP="00320EFD">
            <w:pPr>
              <w:pStyle w:val="InstructionsText"/>
            </w:pPr>
            <w:r>
              <w:t>0432</w:t>
            </w:r>
          </w:p>
        </w:tc>
        <w:tc>
          <w:tcPr>
            <w:tcW w:w="7049" w:type="dxa"/>
          </w:tcPr>
          <w:p w14:paraId="04B98A3C" w14:textId="77777777" w:rsidR="00CC7D2C" w:rsidRPr="002A677E" w:rsidRDefault="00CC7D2C" w:rsidP="00320EFD">
            <w:pPr>
              <w:pStyle w:val="InstructionsText"/>
            </w:pPr>
            <w:r>
              <w:rPr>
                <w:rStyle w:val="InstructionsTabelleberschrift"/>
                <w:rFonts w:ascii="Times New Roman" w:hAnsi="Times New Roman"/>
                <w:sz w:val="24"/>
              </w:rPr>
              <w:t>14.3.1</w:t>
            </w:r>
            <w:r>
              <w:rPr>
                <w:rStyle w:val="InstructionsTabelleberschrift"/>
                <w:rFonts w:ascii="Times New Roman" w:hAnsi="Times New Roman"/>
                <w:sz w:val="24"/>
              </w:rPr>
              <w:tab/>
              <w:t>Synteettiset toissijaisen pääoman (T2) omistusosuudet sellaisissa finanssialan yhteisöissä, joissa laitoksella ei ole merkittävää sijoitusta, brutto</w:t>
            </w:r>
          </w:p>
          <w:p w14:paraId="5CF8D059"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Asetuksen (EU) N:o 575/2013 4 artiklan 1 kohdan 126 alakohta sekä 68 ja 69 artikla</w:t>
            </w:r>
          </w:p>
        </w:tc>
      </w:tr>
      <w:tr w:rsidR="00CC7D2C" w:rsidRPr="002A677E" w14:paraId="36FD440F" w14:textId="77777777" w:rsidTr="00822842">
        <w:tc>
          <w:tcPr>
            <w:tcW w:w="1474" w:type="dxa"/>
          </w:tcPr>
          <w:p w14:paraId="3BACFB19" w14:textId="77777777" w:rsidR="00CC7D2C" w:rsidRPr="002A677E" w:rsidRDefault="00CC7D2C" w:rsidP="00320EFD">
            <w:pPr>
              <w:pStyle w:val="InstructionsText"/>
            </w:pPr>
            <w:r>
              <w:lastRenderedPageBreak/>
              <w:t>0433</w:t>
            </w:r>
          </w:p>
        </w:tc>
        <w:tc>
          <w:tcPr>
            <w:tcW w:w="7049" w:type="dxa"/>
          </w:tcPr>
          <w:p w14:paraId="7629D40E" w14:textId="77777777" w:rsidR="00CC7D2C" w:rsidRPr="002A677E" w:rsidRDefault="00CC7D2C" w:rsidP="00320EFD">
            <w:pPr>
              <w:pStyle w:val="InstructionsText"/>
            </w:pPr>
            <w:r>
              <w:rPr>
                <w:rStyle w:val="InstructionsTabelleberschrift"/>
                <w:rFonts w:ascii="Times New Roman" w:hAnsi="Times New Roman"/>
                <w:sz w:val="24"/>
              </w:rPr>
              <w:t>14.3.2</w:t>
            </w:r>
            <w:r>
              <w:rPr>
                <w:rStyle w:val="InstructionsTabelleberschrift"/>
                <w:rFonts w:ascii="Times New Roman" w:hAnsi="Times New Roman"/>
                <w:sz w:val="24"/>
              </w:rPr>
              <w:tab/>
              <w:t>(-) Edellisiin synteettisiin bruttomääräisiin omistusosuuksiin liittyvät sallitut lyhyiden positioiden kuittaukset</w:t>
            </w:r>
          </w:p>
          <w:p w14:paraId="3DB92575" w14:textId="77777777" w:rsidR="00CC7D2C" w:rsidRPr="002A677E" w:rsidRDefault="00CC7D2C" w:rsidP="00320EFD">
            <w:pPr>
              <w:pStyle w:val="InstructionsText"/>
            </w:pPr>
            <w:r>
              <w:t>Asetuksen (EU) N:o 575/2013 4 artiklan 1 kohdan 126 alakohta ja 69 artikla</w:t>
            </w:r>
          </w:p>
          <w:p w14:paraId="02DEC376"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Asetuksen (EU) N:o 575/2013 69 artiklan a alakohdassa annetaan mahdollisuus kuitata lyhyet positiot samassa kohteena olevassa vastuussa edellyttäen, että lyhyen position erääntymispäivä on joko sama tai myöhempi kuin pitkän position erääntymispäivä tai lyhyen position jäljellä oleva maturiteetti on vähintään yksi vuosi.</w:t>
            </w:r>
          </w:p>
        </w:tc>
      </w:tr>
      <w:tr w:rsidR="00CC7D2C" w:rsidRPr="002A677E" w14:paraId="706BD1BD" w14:textId="77777777" w:rsidTr="00822842">
        <w:tc>
          <w:tcPr>
            <w:tcW w:w="1474" w:type="dxa"/>
          </w:tcPr>
          <w:p w14:paraId="2D28C427" w14:textId="77777777" w:rsidR="00CC7D2C" w:rsidRPr="002A677E" w:rsidRDefault="00CC7D2C" w:rsidP="00320EFD">
            <w:pPr>
              <w:pStyle w:val="InstructionsText"/>
            </w:pPr>
            <w:r>
              <w:t>0440</w:t>
            </w:r>
          </w:p>
        </w:tc>
        <w:tc>
          <w:tcPr>
            <w:tcW w:w="7049" w:type="dxa"/>
          </w:tcPr>
          <w:p w14:paraId="0FF9C857" w14:textId="77777777" w:rsidR="00CC7D2C" w:rsidRPr="002A677E" w:rsidRDefault="00CC7D2C" w:rsidP="00320EFD">
            <w:pPr>
              <w:pStyle w:val="InstructionsText"/>
            </w:pPr>
            <w:r>
              <w:rPr>
                <w:rStyle w:val="InstructionsTabelleberschrift"/>
                <w:rFonts w:ascii="Times New Roman" w:hAnsi="Times New Roman"/>
                <w:sz w:val="24"/>
              </w:rPr>
              <w:t>15</w:t>
            </w:r>
            <w:r>
              <w:rPr>
                <w:rStyle w:val="InstructionsTabelleberschrift"/>
                <w:rFonts w:ascii="Times New Roman" w:hAnsi="Times New Roman"/>
                <w:sz w:val="24"/>
              </w:rPr>
              <w:tab/>
              <w:t>Ydinpääoman (CET1) omistusosuudet sellaisissa finanssialan yhteisöissä, joissa laitoksella on merkittävä sijoitus, vähennettyinä lyhyiden positioiden määrällä</w:t>
            </w:r>
          </w:p>
          <w:p w14:paraId="7C875F9C" w14:textId="77777777" w:rsidR="00CC7D2C" w:rsidRPr="002A677E" w:rsidRDefault="00CC7D2C" w:rsidP="00320EFD">
            <w:pPr>
              <w:pStyle w:val="InstructionsText"/>
            </w:pPr>
            <w:r>
              <w:t>Asetuksen (EU) N:o 575/2013 44, 45, 47 ja 49 artikla</w:t>
            </w:r>
          </w:p>
        </w:tc>
      </w:tr>
      <w:tr w:rsidR="00CC7D2C" w:rsidRPr="002A677E" w14:paraId="6AA27B3D" w14:textId="77777777" w:rsidTr="00822842">
        <w:tc>
          <w:tcPr>
            <w:tcW w:w="1474" w:type="dxa"/>
          </w:tcPr>
          <w:p w14:paraId="735A396A" w14:textId="77777777" w:rsidR="00CC7D2C" w:rsidRPr="002A677E" w:rsidRDefault="00CC7D2C" w:rsidP="00320EFD">
            <w:pPr>
              <w:pStyle w:val="InstructionsText"/>
            </w:pPr>
            <w:r>
              <w:t>0450</w:t>
            </w:r>
          </w:p>
        </w:tc>
        <w:tc>
          <w:tcPr>
            <w:tcW w:w="7049" w:type="dxa"/>
          </w:tcPr>
          <w:p w14:paraId="67599E27" w14:textId="77777777" w:rsidR="00CC7D2C" w:rsidRPr="002A677E" w:rsidRDefault="00CC7D2C" w:rsidP="00320EFD">
            <w:pPr>
              <w:pStyle w:val="InstructionsText"/>
            </w:pPr>
            <w:r>
              <w:rPr>
                <w:rStyle w:val="InstructionsTabelleberschrift"/>
                <w:rFonts w:ascii="Times New Roman" w:hAnsi="Times New Roman"/>
                <w:sz w:val="24"/>
              </w:rPr>
              <w:t>15.1</w:t>
            </w:r>
            <w:r>
              <w:rPr>
                <w:rStyle w:val="InstructionsTabelleberschrift"/>
                <w:rFonts w:ascii="Times New Roman" w:hAnsi="Times New Roman"/>
                <w:sz w:val="24"/>
              </w:rPr>
              <w:tab/>
              <w:t>Suorat ydinpääoman (CET1) omistusosuudet sellaisissa finanssialan yhteisöissä, joissa laitoksella on merkittävä sijoitus</w:t>
            </w:r>
          </w:p>
          <w:p w14:paraId="741527BD" w14:textId="77777777" w:rsidR="00CC7D2C" w:rsidRPr="002A677E" w:rsidRDefault="00CC7D2C" w:rsidP="00320EFD">
            <w:pPr>
              <w:pStyle w:val="InstructionsText"/>
            </w:pPr>
            <w:r>
              <w:t>Asetuksen (EU) N:o 575/2013 44, 45, 47 ja 49 artikla</w:t>
            </w:r>
          </w:p>
        </w:tc>
      </w:tr>
      <w:tr w:rsidR="00CC7D2C" w:rsidRPr="002A677E" w14:paraId="595C7F4D" w14:textId="77777777" w:rsidTr="00822842">
        <w:tc>
          <w:tcPr>
            <w:tcW w:w="1474" w:type="dxa"/>
          </w:tcPr>
          <w:p w14:paraId="765EBD7B" w14:textId="77777777" w:rsidR="00CC7D2C" w:rsidRPr="002A677E" w:rsidRDefault="00CC7D2C" w:rsidP="00320EFD">
            <w:pPr>
              <w:pStyle w:val="InstructionsText"/>
            </w:pPr>
            <w:r>
              <w:t>0460</w:t>
            </w:r>
          </w:p>
        </w:tc>
        <w:tc>
          <w:tcPr>
            <w:tcW w:w="7049" w:type="dxa"/>
          </w:tcPr>
          <w:p w14:paraId="2B980E39" w14:textId="77777777" w:rsidR="00CC7D2C" w:rsidRPr="002A677E" w:rsidRDefault="00CC7D2C" w:rsidP="00320EFD">
            <w:pPr>
              <w:pStyle w:val="InstructionsText"/>
            </w:pPr>
            <w:r>
              <w:rPr>
                <w:rStyle w:val="InstructionsTabelleberschrift"/>
                <w:rFonts w:ascii="Times New Roman" w:hAnsi="Times New Roman"/>
                <w:sz w:val="24"/>
              </w:rPr>
              <w:t>15.1.1</w:t>
            </w:r>
            <w:r>
              <w:rPr>
                <w:rStyle w:val="InstructionsTabelleberschrift"/>
                <w:rFonts w:ascii="Times New Roman" w:hAnsi="Times New Roman"/>
                <w:sz w:val="24"/>
              </w:rPr>
              <w:tab/>
              <w:t>Suorat ydinpääoman (CET1) omistusosuudet sellaisissa finanssialan yhteisöissä, joissa laitoksella on merkittävä sijoitus, brutto</w:t>
            </w:r>
          </w:p>
          <w:p w14:paraId="036661F9" w14:textId="77777777" w:rsidR="00CC7D2C" w:rsidRPr="002A677E" w:rsidRDefault="00CC7D2C" w:rsidP="00320EFD">
            <w:pPr>
              <w:pStyle w:val="InstructionsText"/>
            </w:pPr>
            <w:r>
              <w:t>Asetuksen (EU) N:o 575/2013 44, 45, 47 ja 49 artikla</w:t>
            </w:r>
          </w:p>
          <w:p w14:paraId="09C948F4" w14:textId="77777777" w:rsidR="00CC7D2C" w:rsidRPr="002A677E" w:rsidRDefault="00CC7D2C" w:rsidP="00320EFD">
            <w:pPr>
              <w:pStyle w:val="InstructionsText"/>
            </w:pPr>
            <w:r>
              <w:t>Tässä kohdassa tarkoitetaan suoria omistusosuuksia sellaisten finanssialan yhteisöjen ydinpääomasta (CET1), joissa laitoksella on merkittävä sijoitus. Niihin ei sisälly seuraavia:</w:t>
            </w:r>
          </w:p>
          <w:p w14:paraId="0A0074A9" w14:textId="77777777" w:rsidR="00CC7D2C" w:rsidRPr="002A677E" w:rsidRDefault="00CC7D2C" w:rsidP="00320EFD">
            <w:pPr>
              <w:pStyle w:val="InstructionsText"/>
            </w:pPr>
            <w:r>
              <w:t>a)</w:t>
            </w:r>
            <w:r>
              <w:tab/>
              <w:t xml:space="preserve">merkintäsitoumuksia koskevat positiot, joita pidetään enintään viisi työpäivää; </w:t>
            </w:r>
          </w:p>
          <w:p w14:paraId="4E883DD4" w14:textId="77777777" w:rsidR="00CC7D2C" w:rsidRPr="002A677E" w:rsidRDefault="00CC7D2C" w:rsidP="00320EFD">
            <w:pPr>
              <w:pStyle w:val="InstructionsText"/>
            </w:pPr>
            <w:r>
              <w:t>b)</w:t>
            </w:r>
            <w:r>
              <w:tab/>
              <w:t xml:space="preserve">määrät, jotka liittyvät sijoituksiin, joihin sovelletaan jotakin 49 artiklassa esitetyistä vaihtoehdoista; ja </w:t>
            </w:r>
          </w:p>
          <w:p w14:paraId="5BB8BDF6" w14:textId="77777777" w:rsidR="00CC7D2C" w:rsidRPr="002A677E" w:rsidRDefault="00CC7D2C" w:rsidP="00320EFD">
            <w:pPr>
              <w:pStyle w:val="InstructionsText"/>
            </w:pPr>
            <w:r>
              <w:t>c)</w:t>
            </w:r>
            <w:r>
              <w:tab/>
              <w:t>omistusosuudet, joita käsitellään keskinäisinä ristiinomistuksina asetuksen (EU) N:o 575/2013 36 artiklan 1 kohdan g alakohdan mukaisesti.</w:t>
            </w:r>
          </w:p>
        </w:tc>
      </w:tr>
      <w:tr w:rsidR="00CC7D2C" w:rsidRPr="002A677E" w14:paraId="2554683F" w14:textId="77777777" w:rsidTr="00822842">
        <w:tc>
          <w:tcPr>
            <w:tcW w:w="1474" w:type="dxa"/>
          </w:tcPr>
          <w:p w14:paraId="4C8C8D41" w14:textId="77777777" w:rsidR="00CC7D2C" w:rsidRPr="002A677E" w:rsidRDefault="00CC7D2C" w:rsidP="00320EFD">
            <w:pPr>
              <w:pStyle w:val="InstructionsText"/>
            </w:pPr>
            <w:r>
              <w:t>0470</w:t>
            </w:r>
          </w:p>
        </w:tc>
        <w:tc>
          <w:tcPr>
            <w:tcW w:w="7049" w:type="dxa"/>
          </w:tcPr>
          <w:p w14:paraId="4713E01D" w14:textId="77777777" w:rsidR="00CC7D2C" w:rsidRPr="002A677E" w:rsidRDefault="00CC7D2C" w:rsidP="00320EFD">
            <w:pPr>
              <w:pStyle w:val="InstructionsText"/>
            </w:pPr>
            <w:r>
              <w:rPr>
                <w:rStyle w:val="InstructionsTabelleberschrift"/>
                <w:rFonts w:ascii="Times New Roman" w:hAnsi="Times New Roman"/>
                <w:sz w:val="24"/>
              </w:rPr>
              <w:t>15.1.2</w:t>
            </w:r>
            <w:r>
              <w:rPr>
                <w:rStyle w:val="InstructionsTabelleberschrift"/>
                <w:rFonts w:ascii="Times New Roman" w:hAnsi="Times New Roman"/>
                <w:sz w:val="24"/>
              </w:rPr>
              <w:tab/>
              <w:t>(-) Edellisiin suoriin bruttomääräisiin omistusosuuksiin liittyvät sallitut lyhyiden positioiden kuittaukset</w:t>
            </w:r>
          </w:p>
          <w:p w14:paraId="608988C8" w14:textId="77777777" w:rsidR="00CC7D2C" w:rsidRPr="002A677E" w:rsidRDefault="00CC7D2C" w:rsidP="00320EFD">
            <w:pPr>
              <w:pStyle w:val="InstructionsText"/>
            </w:pPr>
            <w:r>
              <w:t>Asetuksen (EU) N:o 575/2013 45 artikla</w:t>
            </w:r>
          </w:p>
          <w:p w14:paraId="17514F1A" w14:textId="77777777" w:rsidR="00CC7D2C" w:rsidRPr="002A677E" w:rsidRDefault="00CC7D2C" w:rsidP="00320EFD">
            <w:pPr>
              <w:pStyle w:val="InstructionsText"/>
            </w:pPr>
            <w:r>
              <w:t>Asetuksen (EU) N:o 575/2013 45 artiklan a alakohdassa annetaan mahdollisuus kuitata lyhyet positiot samassa kohteena olevassa vastuussa edellyttäen, että lyhyen position erääntymispäivä on joko sama tai myöhempi kuin pitkän position erääntymispäivä tai lyhyen position jäljellä oleva maturiteetti on vähintään yksi vuosi.</w:t>
            </w:r>
          </w:p>
        </w:tc>
      </w:tr>
      <w:tr w:rsidR="00CC7D2C" w:rsidRPr="002A677E" w14:paraId="61B04000" w14:textId="77777777" w:rsidTr="00822842">
        <w:tc>
          <w:tcPr>
            <w:tcW w:w="1474" w:type="dxa"/>
          </w:tcPr>
          <w:p w14:paraId="322FFD86" w14:textId="77777777" w:rsidR="00CC7D2C" w:rsidRPr="002A677E" w:rsidRDefault="00CC7D2C" w:rsidP="00320EFD">
            <w:pPr>
              <w:pStyle w:val="InstructionsText"/>
            </w:pPr>
            <w:r>
              <w:lastRenderedPageBreak/>
              <w:t>0480</w:t>
            </w:r>
          </w:p>
        </w:tc>
        <w:tc>
          <w:tcPr>
            <w:tcW w:w="7049" w:type="dxa"/>
          </w:tcPr>
          <w:p w14:paraId="761DBFD7" w14:textId="77777777" w:rsidR="00CC7D2C" w:rsidRPr="002A677E" w:rsidRDefault="00CC7D2C" w:rsidP="00320EFD">
            <w:pPr>
              <w:pStyle w:val="InstructionsText"/>
            </w:pPr>
            <w:r>
              <w:rPr>
                <w:rStyle w:val="InstructionsTabelleberschrift"/>
                <w:rFonts w:ascii="Times New Roman" w:hAnsi="Times New Roman"/>
                <w:sz w:val="24"/>
              </w:rPr>
              <w:t>15.2</w:t>
            </w:r>
            <w:r>
              <w:rPr>
                <w:rStyle w:val="InstructionsTabelleberschrift"/>
                <w:rFonts w:ascii="Times New Roman" w:hAnsi="Times New Roman"/>
                <w:sz w:val="24"/>
              </w:rPr>
              <w:tab/>
              <w:t>Välilliset ydinpääoman (CET1) omistusosuudet sellaisissa finanssialan yhteisöissä, joissa laitoksella on merkittävä sijoitus</w:t>
            </w:r>
          </w:p>
          <w:p w14:paraId="6E5583DA" w14:textId="77777777" w:rsidR="00CC7D2C" w:rsidRPr="002A677E" w:rsidRDefault="00CC7D2C" w:rsidP="00320EFD">
            <w:pPr>
              <w:pStyle w:val="InstructionsText"/>
            </w:pPr>
            <w:r>
              <w:t>Asetuksen (EU) N:o 575/2013 4 artiklan 1 kohdan 114 alakohta sekä 44 ja 45 artikla</w:t>
            </w:r>
          </w:p>
        </w:tc>
      </w:tr>
      <w:tr w:rsidR="00CC7D2C" w:rsidRPr="002A677E" w14:paraId="18C8A22C" w14:textId="77777777" w:rsidTr="00822842">
        <w:tc>
          <w:tcPr>
            <w:tcW w:w="1474" w:type="dxa"/>
          </w:tcPr>
          <w:p w14:paraId="419418F1" w14:textId="77777777" w:rsidR="00CC7D2C" w:rsidRPr="002A677E" w:rsidRDefault="00CC7D2C" w:rsidP="00320EFD">
            <w:pPr>
              <w:pStyle w:val="InstructionsText"/>
            </w:pPr>
            <w:r>
              <w:t>0490</w:t>
            </w:r>
          </w:p>
        </w:tc>
        <w:tc>
          <w:tcPr>
            <w:tcW w:w="7049" w:type="dxa"/>
          </w:tcPr>
          <w:p w14:paraId="698DA054" w14:textId="77777777" w:rsidR="00CC7D2C" w:rsidRPr="002A677E" w:rsidRDefault="00CC7D2C" w:rsidP="00320EFD">
            <w:pPr>
              <w:pStyle w:val="InstructionsText"/>
            </w:pPr>
            <w:r>
              <w:rPr>
                <w:rStyle w:val="InstructionsTabelleberschrift"/>
                <w:rFonts w:ascii="Times New Roman" w:hAnsi="Times New Roman"/>
                <w:sz w:val="24"/>
              </w:rPr>
              <w:t>15.2.1</w:t>
            </w:r>
            <w:r>
              <w:rPr>
                <w:rStyle w:val="InstructionsTabelleberschrift"/>
                <w:rFonts w:ascii="Times New Roman" w:hAnsi="Times New Roman"/>
                <w:sz w:val="24"/>
              </w:rPr>
              <w:tab/>
              <w:t>Välilliset ydinpääoman (CET1) omistusosuudet sellaisissa finanssialan yhteisöissä, joissa laitoksella on merkittävä sijoitus, brutto</w:t>
            </w:r>
          </w:p>
          <w:p w14:paraId="794C9AFE" w14:textId="77777777" w:rsidR="00CC7D2C" w:rsidRPr="002A677E" w:rsidRDefault="00CC7D2C" w:rsidP="00320EFD">
            <w:pPr>
              <w:pStyle w:val="InstructionsText"/>
            </w:pPr>
            <w:r>
              <w:t>Asetuksen (EU) N:o 575/2013 4 artiklan 1 kohdan 114 alakohta sekä 44 ja 45 artikla</w:t>
            </w:r>
          </w:p>
          <w:p w14:paraId="0AE2F25F" w14:textId="77777777" w:rsidR="00CC7D2C" w:rsidRPr="002A677E" w:rsidRDefault="00CC7D2C" w:rsidP="00320EFD">
            <w:pPr>
              <w:pStyle w:val="InstructionsText"/>
            </w:pPr>
            <w:r>
              <w:t xml:space="preserve">Ilmoitettava määrä on niiden kaupankäyntivarastoon kuuluvien välillisten omistusosuuksien määrä, jotka laitoksella on finanssialan yhteisöjen </w:t>
            </w:r>
            <w:proofErr w:type="gramStart"/>
            <w:r>
              <w:t>pääomainstrumenteista</w:t>
            </w:r>
            <w:proofErr w:type="gramEnd"/>
            <w:r>
              <w:t xml:space="preserve"> ja jotka ovat muodoltaan omistusosuuksia indeksiarvopapereista. Tämä määrä saadaan laskemalla kohteena oleva vastuu, joka liittyy finanssialan yhteisöjen pääomainstrumentteihin kyseisissä indekseissä.</w:t>
            </w:r>
          </w:p>
          <w:p w14:paraId="3F78CFCC" w14:textId="77777777" w:rsidR="00CC7D2C" w:rsidRPr="002A677E" w:rsidRDefault="00CC7D2C" w:rsidP="00320EFD">
            <w:pPr>
              <w:pStyle w:val="InstructionsText"/>
            </w:pPr>
            <w:r>
              <w:t>Kohtaan ei sisällytetä omistusosuuksia, joita käsitellään keskinäisinä ristiinomistuksina asetuksen (EU) N:o 575/2013 36 artiklan 1 kohdan g alakohdan mukaisesti.</w:t>
            </w:r>
          </w:p>
        </w:tc>
      </w:tr>
      <w:tr w:rsidR="00CC7D2C" w:rsidRPr="002A677E" w14:paraId="0928CCF4" w14:textId="77777777" w:rsidTr="00822842">
        <w:tc>
          <w:tcPr>
            <w:tcW w:w="1474" w:type="dxa"/>
          </w:tcPr>
          <w:p w14:paraId="64023C63" w14:textId="77777777" w:rsidR="00CC7D2C" w:rsidRPr="002A677E" w:rsidRDefault="00CC7D2C" w:rsidP="00320EFD">
            <w:pPr>
              <w:pStyle w:val="InstructionsText"/>
            </w:pPr>
            <w:r>
              <w:t>0500</w:t>
            </w:r>
          </w:p>
        </w:tc>
        <w:tc>
          <w:tcPr>
            <w:tcW w:w="7049" w:type="dxa"/>
          </w:tcPr>
          <w:p w14:paraId="44D389F7" w14:textId="77777777" w:rsidR="00CC7D2C" w:rsidRPr="002A677E" w:rsidRDefault="00CC7D2C" w:rsidP="00320EFD">
            <w:pPr>
              <w:pStyle w:val="InstructionsText"/>
            </w:pPr>
            <w:r>
              <w:rPr>
                <w:rStyle w:val="InstructionsTabelleberschrift"/>
                <w:rFonts w:ascii="Times New Roman" w:hAnsi="Times New Roman"/>
                <w:sz w:val="24"/>
              </w:rPr>
              <w:t>15.2.2</w:t>
            </w:r>
            <w:r>
              <w:rPr>
                <w:rStyle w:val="InstructionsTabelleberschrift"/>
                <w:rFonts w:ascii="Times New Roman" w:hAnsi="Times New Roman"/>
                <w:sz w:val="24"/>
              </w:rPr>
              <w:tab/>
              <w:t>(-) Edellisiin välillisiin bruttomääräisiin omistusosuuksiin liittyvät sallitut lyhyiden positioiden kuittaukset</w:t>
            </w:r>
          </w:p>
          <w:p w14:paraId="0260A712" w14:textId="77777777" w:rsidR="00CC7D2C" w:rsidRPr="002A677E" w:rsidRDefault="00CC7D2C" w:rsidP="00320EFD">
            <w:pPr>
              <w:pStyle w:val="InstructionsText"/>
            </w:pPr>
            <w:r>
              <w:t>Asetuksen (EU) N:o 575/2013 4 artiklan 1 kohdan 114 alakohta ja 45 artikla</w:t>
            </w:r>
          </w:p>
          <w:p w14:paraId="50F604F3" w14:textId="77777777" w:rsidR="00CC7D2C" w:rsidRPr="002A677E" w:rsidRDefault="00CC7D2C" w:rsidP="00320EFD">
            <w:pPr>
              <w:pStyle w:val="InstructionsText"/>
            </w:pPr>
            <w:r>
              <w:t>Asetuksen (EU) N:o 575/2013 45 artiklan a alakohdassa annetaan mahdollisuus kuitata lyhyet positiot samassa kohteena olevassa vastuussa edellyttäen, että lyhyen position erääntymispäivä on joko sama tai myöhempi kuin pitkän position erääntymispäivä tai lyhyen position jäljellä oleva maturiteetti on vähintään yksi vuosi.</w:t>
            </w:r>
          </w:p>
        </w:tc>
      </w:tr>
      <w:tr w:rsidR="00CC7D2C" w:rsidRPr="002A677E" w14:paraId="069A7FC4" w14:textId="77777777" w:rsidTr="00822842">
        <w:tc>
          <w:tcPr>
            <w:tcW w:w="1474" w:type="dxa"/>
          </w:tcPr>
          <w:p w14:paraId="7D4B5B9E" w14:textId="77777777" w:rsidR="00CC7D2C" w:rsidRPr="002A677E" w:rsidRDefault="00CC7D2C" w:rsidP="00320EFD">
            <w:pPr>
              <w:pStyle w:val="InstructionsText"/>
            </w:pPr>
            <w:r>
              <w:t>0501</w:t>
            </w:r>
          </w:p>
        </w:tc>
        <w:tc>
          <w:tcPr>
            <w:tcW w:w="7049" w:type="dxa"/>
          </w:tcPr>
          <w:p w14:paraId="4F06B854" w14:textId="77777777" w:rsidR="00CC7D2C" w:rsidRPr="002A677E" w:rsidRDefault="00CC7D2C" w:rsidP="00320EFD">
            <w:pPr>
              <w:pStyle w:val="InstructionsText"/>
            </w:pPr>
            <w:r>
              <w:rPr>
                <w:rStyle w:val="InstructionsTabelleberschrift"/>
                <w:rFonts w:ascii="Times New Roman" w:hAnsi="Times New Roman"/>
                <w:sz w:val="24"/>
              </w:rPr>
              <w:t>15.3</w:t>
            </w:r>
            <w:r>
              <w:rPr>
                <w:rStyle w:val="InstructionsTabelleberschrift"/>
                <w:rFonts w:ascii="Times New Roman" w:hAnsi="Times New Roman"/>
                <w:sz w:val="24"/>
              </w:rPr>
              <w:tab/>
              <w:t>Synteettiset ydinpääoman (CET1) omistusosuudet sellaisissa finanssialan yhteisöissä, joissa laitoksella on merkittävä sijoitus</w:t>
            </w:r>
          </w:p>
          <w:p w14:paraId="4FDA5923" w14:textId="77777777" w:rsidR="00CC7D2C" w:rsidRPr="002A677E" w:rsidRDefault="00CC7D2C" w:rsidP="00320EFD">
            <w:pPr>
              <w:pStyle w:val="InstructionsText"/>
            </w:pPr>
            <w:r>
              <w:t>Asetuksen (EU) N:o 575/2013 4 artiklan 1 kohdan 126 alakohta sekä 44 ja 45 artikla</w:t>
            </w:r>
          </w:p>
        </w:tc>
      </w:tr>
      <w:tr w:rsidR="00CC7D2C" w:rsidRPr="002A677E" w14:paraId="39E8504B" w14:textId="77777777" w:rsidTr="00822842">
        <w:tc>
          <w:tcPr>
            <w:tcW w:w="1474" w:type="dxa"/>
          </w:tcPr>
          <w:p w14:paraId="702432D4" w14:textId="77777777" w:rsidR="00CC7D2C" w:rsidRPr="002A677E" w:rsidRDefault="00CC7D2C" w:rsidP="00320EFD">
            <w:pPr>
              <w:pStyle w:val="InstructionsText"/>
            </w:pPr>
            <w:r>
              <w:t>0502</w:t>
            </w:r>
          </w:p>
        </w:tc>
        <w:tc>
          <w:tcPr>
            <w:tcW w:w="7049" w:type="dxa"/>
          </w:tcPr>
          <w:p w14:paraId="37BEEACC" w14:textId="77777777" w:rsidR="00CC7D2C" w:rsidRPr="002A677E" w:rsidRDefault="00CC7D2C" w:rsidP="00320EFD">
            <w:pPr>
              <w:pStyle w:val="InstructionsText"/>
            </w:pPr>
            <w:r>
              <w:rPr>
                <w:rStyle w:val="InstructionsTabelleberschrift"/>
                <w:rFonts w:ascii="Times New Roman" w:hAnsi="Times New Roman"/>
                <w:sz w:val="24"/>
              </w:rPr>
              <w:t>15.3.1</w:t>
            </w:r>
            <w:r>
              <w:rPr>
                <w:rStyle w:val="InstructionsTabelleberschrift"/>
                <w:rFonts w:ascii="Times New Roman" w:hAnsi="Times New Roman"/>
                <w:sz w:val="24"/>
              </w:rPr>
              <w:tab/>
              <w:t>Synteettiset ydinpääoman (CET1) omistusosuudet sellaisissa finanssialan yhteisöissä, joissa laitoksella on merkittävä sijoitus, brutto</w:t>
            </w:r>
          </w:p>
          <w:p w14:paraId="324270A6" w14:textId="77777777" w:rsidR="00CC7D2C" w:rsidRPr="002A677E" w:rsidRDefault="00CC7D2C" w:rsidP="00320EFD">
            <w:pPr>
              <w:pStyle w:val="InstructionsText"/>
            </w:pPr>
            <w:r>
              <w:t>Asetuksen (EU) N:o 575/2013 4 artiklan 1 kohdan 126 alakohta sekä 44 ja 45 artikla</w:t>
            </w:r>
          </w:p>
        </w:tc>
      </w:tr>
      <w:tr w:rsidR="00CC7D2C" w:rsidRPr="002A677E" w14:paraId="1FCF3A8A" w14:textId="77777777" w:rsidTr="00822842">
        <w:tc>
          <w:tcPr>
            <w:tcW w:w="1474" w:type="dxa"/>
          </w:tcPr>
          <w:p w14:paraId="205D2BBC" w14:textId="77777777" w:rsidR="00CC7D2C" w:rsidRPr="002A677E" w:rsidRDefault="00CC7D2C" w:rsidP="00320EFD">
            <w:pPr>
              <w:pStyle w:val="InstructionsText"/>
            </w:pPr>
            <w:r>
              <w:t>0503</w:t>
            </w:r>
          </w:p>
        </w:tc>
        <w:tc>
          <w:tcPr>
            <w:tcW w:w="7049" w:type="dxa"/>
          </w:tcPr>
          <w:p w14:paraId="316380A6" w14:textId="77777777" w:rsidR="00CC7D2C" w:rsidRPr="002A677E" w:rsidRDefault="00CC7D2C" w:rsidP="00320EFD">
            <w:pPr>
              <w:pStyle w:val="InstructionsText"/>
            </w:pPr>
            <w:r>
              <w:rPr>
                <w:rStyle w:val="InstructionsTabelleberschrift"/>
                <w:rFonts w:ascii="Times New Roman" w:hAnsi="Times New Roman"/>
                <w:sz w:val="24"/>
              </w:rPr>
              <w:t>15.3.2</w:t>
            </w:r>
            <w:r>
              <w:rPr>
                <w:rStyle w:val="InstructionsTabelleberschrift"/>
                <w:rFonts w:ascii="Times New Roman" w:hAnsi="Times New Roman"/>
                <w:sz w:val="24"/>
              </w:rPr>
              <w:tab/>
              <w:t>(-) Edellisiin synteettisiin bruttomääräisiin omistusosuuksiin liittyvät sallitut lyhyiden positioiden kuittaukset</w:t>
            </w:r>
          </w:p>
          <w:p w14:paraId="514B205E" w14:textId="77777777" w:rsidR="00CC7D2C" w:rsidRPr="002A677E" w:rsidRDefault="00CC7D2C" w:rsidP="00320EFD">
            <w:pPr>
              <w:pStyle w:val="InstructionsText"/>
            </w:pPr>
            <w:r>
              <w:lastRenderedPageBreak/>
              <w:t>Asetuksen (EU) N:o 575/2013 4 artiklan 1 kohdan 126 alakohta ja 45 artikla</w:t>
            </w:r>
          </w:p>
          <w:p w14:paraId="4A259B9A" w14:textId="77777777" w:rsidR="00CC7D2C" w:rsidRPr="002A677E" w:rsidRDefault="00CC7D2C" w:rsidP="00320EFD">
            <w:pPr>
              <w:pStyle w:val="InstructionsText"/>
            </w:pPr>
            <w:r>
              <w:t>Asetuksen (EU) N:o 575/2013 45 artiklan a alakohdassa annetaan mahdollisuus kuitata lyhyet positiot samassa kohteena olevassa vastuussa edellyttäen, että lyhyen position erääntymispäivä on joko sama tai myöhempi kuin pitkän position erääntymispäivä tai lyhyen position jäljellä oleva maturiteetti on vähintään yksi vuosi.</w:t>
            </w:r>
          </w:p>
        </w:tc>
      </w:tr>
      <w:tr w:rsidR="00CC7D2C" w:rsidRPr="002A677E" w14:paraId="7FC3D32E" w14:textId="77777777" w:rsidTr="00822842">
        <w:tc>
          <w:tcPr>
            <w:tcW w:w="1474" w:type="dxa"/>
          </w:tcPr>
          <w:p w14:paraId="6C058092" w14:textId="77777777" w:rsidR="00CC7D2C" w:rsidRPr="002A677E" w:rsidRDefault="00CC7D2C" w:rsidP="00320EFD">
            <w:pPr>
              <w:pStyle w:val="InstructionsText"/>
            </w:pPr>
            <w:r>
              <w:lastRenderedPageBreak/>
              <w:t>0504</w:t>
            </w:r>
          </w:p>
        </w:tc>
        <w:tc>
          <w:tcPr>
            <w:tcW w:w="7049" w:type="dxa"/>
          </w:tcPr>
          <w:p w14:paraId="2A2242F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Ydinpääomasijoitukset (CET1) sellaisiin finanssialan yhteisöihin, joissa laitoksella on merkittävä sijoitus – 250 prosentin riskipainon soveltaminen</w:t>
            </w:r>
          </w:p>
          <w:p w14:paraId="7F700D84" w14:textId="77777777" w:rsidR="00CC7D2C" w:rsidRPr="002A677E" w:rsidRDefault="00CC7D2C" w:rsidP="00320EFD">
            <w:pPr>
              <w:pStyle w:val="InstructionsText"/>
            </w:pPr>
            <w:r>
              <w:t>Asetuksen (EU) N:o 575/2013 48 artiklan 4 kohta</w:t>
            </w:r>
          </w:p>
          <w:p w14:paraId="08C3709A" w14:textId="77777777" w:rsidR="00CC7D2C" w:rsidRPr="002A677E" w:rsidRDefault="00CC7D2C" w:rsidP="00320EFD">
            <w:pPr>
              <w:pStyle w:val="InstructionsText"/>
            </w:pPr>
            <w:r>
              <w:t xml:space="preserve">Tässä tarkoitetaan sellaisia merkittäviä ydinpääomasijoituksia (CET1) finanssialan yhteisöihin, joita ei vähennetä asetuksen (EU) N:o 575/2013 48 artiklan 1 kohdan mukaisesti </w:t>
            </w:r>
            <w:proofErr w:type="gramStart"/>
            <w:r>
              <w:t>vaan</w:t>
            </w:r>
            <w:proofErr w:type="gramEnd"/>
            <w:r>
              <w:t xml:space="preserve"> joihin sovelletaan 250 prosentin riskipainoa kyseisen asetuksen 48 artiklan 4 kohdan mukaisesti.</w:t>
            </w:r>
          </w:p>
          <w:p w14:paraId="4CC369EF" w14:textId="77777777" w:rsidR="00CC7D2C" w:rsidRPr="002A677E" w:rsidRDefault="00CC7D2C" w:rsidP="00320EFD">
            <w:pPr>
              <w:pStyle w:val="InstructionsText"/>
              <w:rPr>
                <w:rStyle w:val="InstructionsTabelleberschrift"/>
                <w:rFonts w:ascii="Times New Roman" w:hAnsi="Times New Roman"/>
                <w:sz w:val="24"/>
              </w:rPr>
            </w:pPr>
            <w:r>
              <w:t>Ilmoitettava määrä on merkittävien sijoitusten määrä ennen riskipainon soveltamista.</w:t>
            </w:r>
          </w:p>
        </w:tc>
      </w:tr>
      <w:tr w:rsidR="00CC7D2C" w:rsidRPr="002A677E" w14:paraId="17CC32B9" w14:textId="77777777" w:rsidTr="00822842">
        <w:tc>
          <w:tcPr>
            <w:tcW w:w="1474" w:type="dxa"/>
          </w:tcPr>
          <w:p w14:paraId="1689985B" w14:textId="77777777" w:rsidR="00CC7D2C" w:rsidRPr="002A677E" w:rsidRDefault="00CC7D2C" w:rsidP="00320EFD">
            <w:pPr>
              <w:pStyle w:val="InstructionsText"/>
            </w:pPr>
            <w:r>
              <w:t>0510</w:t>
            </w:r>
          </w:p>
        </w:tc>
        <w:tc>
          <w:tcPr>
            <w:tcW w:w="7049" w:type="dxa"/>
          </w:tcPr>
          <w:p w14:paraId="37A68C4A" w14:textId="77777777" w:rsidR="00CC7D2C" w:rsidRPr="002A677E" w:rsidRDefault="00CC7D2C" w:rsidP="00320EFD">
            <w:pPr>
              <w:pStyle w:val="InstructionsText"/>
            </w:pPr>
            <w:r>
              <w:rPr>
                <w:rStyle w:val="InstructionsTabelleberschrift"/>
                <w:rFonts w:ascii="Times New Roman" w:hAnsi="Times New Roman"/>
                <w:sz w:val="24"/>
              </w:rPr>
              <w:t>16 Toissijaisen pääoman (AT1) omistusosuudet sellaisissa finanssialan yhteisöissä, joissa laitoksella on merkittävä sijoitus, vähennettyinä lyhyiden positioiden määrällä</w:t>
            </w:r>
          </w:p>
          <w:p w14:paraId="0B60B353" w14:textId="77777777" w:rsidR="00CC7D2C" w:rsidRPr="002A677E" w:rsidRDefault="00CC7D2C" w:rsidP="00320EFD">
            <w:pPr>
              <w:pStyle w:val="InstructionsText"/>
            </w:pPr>
            <w:r>
              <w:t>Asetuksen (EU) N:o 575/2013 58 ja 59 artikla</w:t>
            </w:r>
          </w:p>
        </w:tc>
      </w:tr>
      <w:tr w:rsidR="00CC7D2C" w:rsidRPr="002A677E" w14:paraId="3BA4BEFE" w14:textId="77777777" w:rsidTr="00822842">
        <w:tc>
          <w:tcPr>
            <w:tcW w:w="1474" w:type="dxa"/>
          </w:tcPr>
          <w:p w14:paraId="0FC2A632" w14:textId="77777777" w:rsidR="00CC7D2C" w:rsidRPr="002A677E" w:rsidRDefault="00CC7D2C" w:rsidP="00320EFD">
            <w:pPr>
              <w:pStyle w:val="InstructionsText"/>
            </w:pPr>
            <w:r>
              <w:t>0520</w:t>
            </w:r>
          </w:p>
        </w:tc>
        <w:tc>
          <w:tcPr>
            <w:tcW w:w="7049" w:type="dxa"/>
          </w:tcPr>
          <w:p w14:paraId="396E8E7A" w14:textId="77777777" w:rsidR="00CC7D2C" w:rsidRPr="002A677E" w:rsidRDefault="00CC7D2C" w:rsidP="00320EFD">
            <w:pPr>
              <w:pStyle w:val="InstructionsText"/>
            </w:pPr>
            <w:r>
              <w:rPr>
                <w:rStyle w:val="InstructionsTabelleberschrift"/>
                <w:rFonts w:ascii="Times New Roman" w:hAnsi="Times New Roman"/>
                <w:sz w:val="24"/>
              </w:rPr>
              <w:t>16.1</w:t>
            </w:r>
            <w:r>
              <w:rPr>
                <w:rStyle w:val="InstructionsTabelleberschrift"/>
                <w:rFonts w:ascii="Times New Roman" w:hAnsi="Times New Roman"/>
                <w:sz w:val="24"/>
              </w:rPr>
              <w:tab/>
              <w:t>Suorat ensisijaisen lisäpääoman (AT1) omistusosuudet sellaisissa finanssialan yhteisöissä, joissa laitoksella on merkittävä sijoitus</w:t>
            </w:r>
          </w:p>
          <w:p w14:paraId="615CAEA4" w14:textId="77777777" w:rsidR="00CC7D2C" w:rsidRPr="002A677E" w:rsidRDefault="00CC7D2C" w:rsidP="00320EFD">
            <w:pPr>
              <w:pStyle w:val="InstructionsText"/>
            </w:pPr>
            <w:r>
              <w:t>Asetuksen (EU) N:o 575/2013 58 ja 59 artikla</w:t>
            </w:r>
          </w:p>
        </w:tc>
      </w:tr>
      <w:tr w:rsidR="00CC7D2C" w:rsidRPr="002A677E" w14:paraId="4BE82DE3" w14:textId="77777777" w:rsidTr="00822842">
        <w:tc>
          <w:tcPr>
            <w:tcW w:w="1474" w:type="dxa"/>
          </w:tcPr>
          <w:p w14:paraId="3A3FE1F4" w14:textId="77777777" w:rsidR="00CC7D2C" w:rsidRPr="002A677E" w:rsidRDefault="00CC7D2C" w:rsidP="00320EFD">
            <w:pPr>
              <w:pStyle w:val="InstructionsText"/>
            </w:pPr>
            <w:r>
              <w:t>0530</w:t>
            </w:r>
          </w:p>
        </w:tc>
        <w:tc>
          <w:tcPr>
            <w:tcW w:w="7049" w:type="dxa"/>
          </w:tcPr>
          <w:p w14:paraId="3FCC12A6" w14:textId="77777777" w:rsidR="00CC7D2C" w:rsidRPr="002A677E" w:rsidRDefault="00CC7D2C" w:rsidP="00320EFD">
            <w:pPr>
              <w:pStyle w:val="InstructionsText"/>
            </w:pPr>
            <w:r>
              <w:rPr>
                <w:rStyle w:val="InstructionsTabelleberschrift"/>
                <w:rFonts w:ascii="Times New Roman" w:hAnsi="Times New Roman"/>
                <w:sz w:val="24"/>
              </w:rPr>
              <w:t>16.1.1</w:t>
            </w:r>
            <w:r>
              <w:rPr>
                <w:rStyle w:val="InstructionsTabelleberschrift"/>
                <w:rFonts w:ascii="Times New Roman" w:hAnsi="Times New Roman"/>
                <w:sz w:val="24"/>
              </w:rPr>
              <w:tab/>
              <w:t>Suorat ensisijaisen lisäpääoman (AT1) omistusosuudet sellaisissa finanssialan yhteisöissä, joissa laitoksella on merkittävä sijoitus, brutto</w:t>
            </w:r>
          </w:p>
          <w:p w14:paraId="12F44F50" w14:textId="77777777" w:rsidR="00CC7D2C" w:rsidRPr="002A677E" w:rsidRDefault="00CC7D2C" w:rsidP="00320EFD">
            <w:pPr>
              <w:pStyle w:val="InstructionsText"/>
            </w:pPr>
            <w:r>
              <w:t>Asetuksen (EU) N:o 575/2013 58 artikla</w:t>
            </w:r>
          </w:p>
          <w:p w14:paraId="41935DD8" w14:textId="77777777" w:rsidR="00CC7D2C" w:rsidRPr="002A677E" w:rsidRDefault="00CC7D2C" w:rsidP="00320EFD">
            <w:pPr>
              <w:pStyle w:val="InstructionsText"/>
            </w:pPr>
            <w:r>
              <w:t>Tässä kohdassa tarkoitetaan suoria omistusosuuksia sellaisten finanssialan yhteisöjen ensisijaisesta lisäpääomasta (AT1), joissa laitoksella on merkittävä sijoitus. Niihin ei sisälly seuraavia:</w:t>
            </w:r>
          </w:p>
          <w:p w14:paraId="4D8400A2" w14:textId="77777777" w:rsidR="00CC7D2C" w:rsidRPr="002A677E" w:rsidRDefault="00CC7D2C" w:rsidP="00320EFD">
            <w:pPr>
              <w:pStyle w:val="InstructionsText"/>
            </w:pPr>
            <w:r>
              <w:t>a)</w:t>
            </w:r>
            <w:r>
              <w:tab/>
              <w:t>merkintäsitoumuksia koskevat positiot, joita pidetään enintään viisi työpäivää (asetuksen (EU) N:o 575/2013 56 artiklan d alakohta); ja</w:t>
            </w:r>
          </w:p>
          <w:p w14:paraId="5C192689" w14:textId="77777777" w:rsidR="00CC7D2C" w:rsidRPr="002A677E" w:rsidRDefault="00CC7D2C" w:rsidP="00320EFD">
            <w:pPr>
              <w:pStyle w:val="InstructionsText"/>
            </w:pPr>
            <w:r>
              <w:t>b)</w:t>
            </w:r>
            <w:r>
              <w:tab/>
              <w:t>omistusosuudet, joita käsitellään keskinäisinä ristiinomistuksina asetuksen (EU) N:o 575/2013 56 artiklan b alakohdan mukaisesti.</w:t>
            </w:r>
          </w:p>
        </w:tc>
      </w:tr>
      <w:tr w:rsidR="00CC7D2C" w:rsidRPr="002A677E" w14:paraId="1D1E9595" w14:textId="77777777" w:rsidTr="00822842">
        <w:tc>
          <w:tcPr>
            <w:tcW w:w="1474" w:type="dxa"/>
          </w:tcPr>
          <w:p w14:paraId="25352852" w14:textId="77777777" w:rsidR="00CC7D2C" w:rsidRPr="002A677E" w:rsidRDefault="00CC7D2C" w:rsidP="00320EFD">
            <w:pPr>
              <w:pStyle w:val="InstructionsText"/>
            </w:pPr>
            <w:r>
              <w:t>0540</w:t>
            </w:r>
          </w:p>
        </w:tc>
        <w:tc>
          <w:tcPr>
            <w:tcW w:w="7049" w:type="dxa"/>
          </w:tcPr>
          <w:p w14:paraId="035896E1" w14:textId="77777777" w:rsidR="00CC7D2C" w:rsidRPr="002A677E" w:rsidRDefault="00CC7D2C" w:rsidP="00320EFD">
            <w:pPr>
              <w:pStyle w:val="InstructionsText"/>
            </w:pPr>
            <w:r>
              <w:rPr>
                <w:rStyle w:val="InstructionsTabelleberschrift"/>
                <w:rFonts w:ascii="Times New Roman" w:hAnsi="Times New Roman"/>
                <w:sz w:val="24"/>
              </w:rPr>
              <w:t>16.1.2</w:t>
            </w:r>
            <w:r>
              <w:rPr>
                <w:rStyle w:val="InstructionsTabelleberschrift"/>
                <w:rFonts w:ascii="Times New Roman" w:hAnsi="Times New Roman"/>
                <w:sz w:val="24"/>
              </w:rPr>
              <w:tab/>
              <w:t>(-) Edellisiin suoriin bruttomääräisiin omistusosuuksiin liittyvät sallitut lyhyiden positioiden kuittaukset</w:t>
            </w:r>
          </w:p>
          <w:p w14:paraId="78A0D4FB" w14:textId="77777777" w:rsidR="00CC7D2C" w:rsidRPr="002A677E" w:rsidRDefault="00CC7D2C" w:rsidP="00320EFD">
            <w:pPr>
              <w:pStyle w:val="InstructionsText"/>
            </w:pPr>
            <w:r>
              <w:lastRenderedPageBreak/>
              <w:t>Asetuksen (EU) N:o 575/2013 59 artikla</w:t>
            </w:r>
          </w:p>
          <w:p w14:paraId="4D179792" w14:textId="77777777" w:rsidR="00CC7D2C" w:rsidRPr="002A677E" w:rsidRDefault="00CC7D2C" w:rsidP="00320EFD">
            <w:pPr>
              <w:pStyle w:val="InstructionsText"/>
            </w:pPr>
            <w:r>
              <w:t>Asetuksen (EU) N:o 575/2013 59 artiklan a alakohdassa annetaan mahdollisuus kuitata lyhyet positiot samassa kohteena olevassa vastuussa edellyttäen, että lyhyen position erääntymispäivä on joko sama tai myöhempi kuin pitkän position erääntymispäivä tai lyhyen position jäljellä oleva maturiteetti on vähintään yksi vuosi.</w:t>
            </w:r>
          </w:p>
        </w:tc>
      </w:tr>
      <w:tr w:rsidR="00CC7D2C" w:rsidRPr="002A677E" w14:paraId="5EB6D4E9" w14:textId="77777777" w:rsidTr="00822842">
        <w:tc>
          <w:tcPr>
            <w:tcW w:w="1474" w:type="dxa"/>
          </w:tcPr>
          <w:p w14:paraId="395D2AEE" w14:textId="77777777" w:rsidR="00CC7D2C" w:rsidRPr="002A677E" w:rsidRDefault="00CC7D2C" w:rsidP="00320EFD">
            <w:pPr>
              <w:pStyle w:val="InstructionsText"/>
            </w:pPr>
            <w:r>
              <w:lastRenderedPageBreak/>
              <w:t>0550</w:t>
            </w:r>
          </w:p>
        </w:tc>
        <w:tc>
          <w:tcPr>
            <w:tcW w:w="7049" w:type="dxa"/>
          </w:tcPr>
          <w:p w14:paraId="4644AFF9" w14:textId="77777777" w:rsidR="00CC7D2C" w:rsidRPr="002A677E" w:rsidRDefault="00CC7D2C" w:rsidP="00320EFD">
            <w:pPr>
              <w:pStyle w:val="InstructionsText"/>
            </w:pPr>
            <w:r>
              <w:rPr>
                <w:rStyle w:val="InstructionsTabelleberschrift"/>
                <w:rFonts w:ascii="Times New Roman" w:hAnsi="Times New Roman"/>
                <w:sz w:val="24"/>
              </w:rPr>
              <w:t>16.2</w:t>
            </w:r>
            <w:r>
              <w:rPr>
                <w:rStyle w:val="InstructionsTabelleberschrift"/>
                <w:rFonts w:ascii="Times New Roman" w:hAnsi="Times New Roman"/>
                <w:sz w:val="24"/>
              </w:rPr>
              <w:tab/>
              <w:t>Välilliset ensisijaisen lisäpääoman (AT1) omistusosuudet sellaisissa finanssialan yhteisöissä, joissa laitoksella on merkittävä sijoitus</w:t>
            </w:r>
          </w:p>
          <w:p w14:paraId="541FB02F" w14:textId="77777777" w:rsidR="00CC7D2C" w:rsidRPr="002A677E" w:rsidRDefault="00CC7D2C" w:rsidP="00320EFD">
            <w:pPr>
              <w:pStyle w:val="InstructionsText"/>
            </w:pPr>
            <w:r>
              <w:t>Asetuksen (EU) N:o 575/2013 4 artiklan 1 kohdan 114 alakohta sekä 58 ja 59 artikla</w:t>
            </w:r>
          </w:p>
        </w:tc>
      </w:tr>
      <w:tr w:rsidR="00CC7D2C" w:rsidRPr="002A677E" w14:paraId="0E40D2F9" w14:textId="77777777" w:rsidTr="00822842">
        <w:tc>
          <w:tcPr>
            <w:tcW w:w="1474" w:type="dxa"/>
          </w:tcPr>
          <w:p w14:paraId="2712E6AE" w14:textId="77777777" w:rsidR="00CC7D2C" w:rsidRPr="002A677E" w:rsidRDefault="00CC7D2C" w:rsidP="00320EFD">
            <w:pPr>
              <w:pStyle w:val="InstructionsText"/>
            </w:pPr>
            <w:r>
              <w:t>0560</w:t>
            </w:r>
          </w:p>
        </w:tc>
        <w:tc>
          <w:tcPr>
            <w:tcW w:w="7049" w:type="dxa"/>
          </w:tcPr>
          <w:p w14:paraId="1B287A9A" w14:textId="77777777" w:rsidR="00CC7D2C" w:rsidRPr="002A677E" w:rsidRDefault="00CC7D2C" w:rsidP="00320EFD">
            <w:pPr>
              <w:pStyle w:val="InstructionsText"/>
            </w:pPr>
            <w:r>
              <w:rPr>
                <w:rStyle w:val="InstructionsTabelleberschrift"/>
                <w:rFonts w:ascii="Times New Roman" w:hAnsi="Times New Roman"/>
                <w:sz w:val="24"/>
              </w:rPr>
              <w:t>16.2.1</w:t>
            </w:r>
            <w:r>
              <w:rPr>
                <w:rStyle w:val="InstructionsTabelleberschrift"/>
                <w:rFonts w:ascii="Times New Roman" w:hAnsi="Times New Roman"/>
                <w:sz w:val="24"/>
              </w:rPr>
              <w:tab/>
              <w:t>Välilliset ensisijaisen lisäpääoman (AT1) omistusosuudet sellaisissa finanssialan yhteisöissä, joissa laitoksella on merkittävä sijoitus, brutto</w:t>
            </w:r>
          </w:p>
          <w:p w14:paraId="7AF4342B" w14:textId="77777777" w:rsidR="00CC7D2C" w:rsidRPr="002A677E" w:rsidRDefault="00CC7D2C" w:rsidP="00320EFD">
            <w:pPr>
              <w:pStyle w:val="InstructionsText"/>
            </w:pPr>
            <w:r>
              <w:t>Asetuksen (EU) N:o 575/2013 4 artiklan 1 kohdan 114 alakohta sekä 58 ja 59 artikla</w:t>
            </w:r>
          </w:p>
          <w:p w14:paraId="058247BE" w14:textId="77777777" w:rsidR="00CC7D2C" w:rsidRPr="002A677E" w:rsidRDefault="00CC7D2C" w:rsidP="00320EFD">
            <w:pPr>
              <w:pStyle w:val="InstructionsText"/>
            </w:pPr>
            <w:r>
              <w:t xml:space="preserve">Ilmoitettava määrä on niiden kaupankäyntivarastoon kuuluvien välillisten omistusosuuksien määrä, jotka laitoksella on finanssialan yhteisöjen </w:t>
            </w:r>
            <w:proofErr w:type="gramStart"/>
            <w:r>
              <w:t>pääomainstrumenteista</w:t>
            </w:r>
            <w:proofErr w:type="gramEnd"/>
            <w:r>
              <w:t xml:space="preserve"> ja jotka ovat muodoltaan omistusosuuksia indeksiarvopapereista. Tämä määrä saadaan laskemalla kohteena oleva vastuu, joka liittyy finanssialan yhteisöjen pääomainstrumentteihin kyseisissä indekseissä.</w:t>
            </w:r>
          </w:p>
          <w:p w14:paraId="7206E9B6" w14:textId="77777777" w:rsidR="00CC7D2C" w:rsidRPr="002A677E" w:rsidRDefault="00CC7D2C" w:rsidP="00320EFD">
            <w:pPr>
              <w:pStyle w:val="InstructionsText"/>
            </w:pPr>
            <w:r>
              <w:t>Kohtaan ei sisällytetä omistusosuuksia, joita käsitellään keskinäisinä ristiinomistuksina asetuksen (EU) N:o 575/2013 56 artiklan b alakohdan mukaisesti.</w:t>
            </w:r>
          </w:p>
        </w:tc>
      </w:tr>
      <w:tr w:rsidR="00CC7D2C" w:rsidRPr="002A677E" w14:paraId="2370C611" w14:textId="77777777" w:rsidTr="00822842">
        <w:tc>
          <w:tcPr>
            <w:tcW w:w="1474" w:type="dxa"/>
          </w:tcPr>
          <w:p w14:paraId="67EA44A4" w14:textId="77777777" w:rsidR="00CC7D2C" w:rsidRPr="002A677E" w:rsidRDefault="00CC7D2C" w:rsidP="00320EFD">
            <w:pPr>
              <w:pStyle w:val="InstructionsText"/>
            </w:pPr>
            <w:r>
              <w:t>0570</w:t>
            </w:r>
          </w:p>
        </w:tc>
        <w:tc>
          <w:tcPr>
            <w:tcW w:w="7049" w:type="dxa"/>
          </w:tcPr>
          <w:p w14:paraId="21582B89" w14:textId="77777777" w:rsidR="00CC7D2C" w:rsidRPr="002A677E" w:rsidRDefault="00CC7D2C" w:rsidP="00320EFD">
            <w:pPr>
              <w:pStyle w:val="InstructionsText"/>
            </w:pPr>
            <w:r>
              <w:rPr>
                <w:rStyle w:val="InstructionsTabelleberschrift"/>
                <w:rFonts w:ascii="Times New Roman" w:hAnsi="Times New Roman"/>
                <w:sz w:val="24"/>
              </w:rPr>
              <w:t>16.2.2</w:t>
            </w:r>
            <w:r>
              <w:rPr>
                <w:rStyle w:val="InstructionsTabelleberschrift"/>
                <w:rFonts w:ascii="Times New Roman" w:hAnsi="Times New Roman"/>
                <w:sz w:val="24"/>
              </w:rPr>
              <w:tab/>
              <w:t>(-) Edellisiin välillisiin bruttomääräisiin omistusosuuksiin liittyvät sallitut lyhyiden positioiden kuittaukset</w:t>
            </w:r>
          </w:p>
          <w:p w14:paraId="4E8AE615" w14:textId="77777777" w:rsidR="00CC7D2C" w:rsidRPr="002A677E" w:rsidRDefault="00CC7D2C" w:rsidP="00320EFD">
            <w:pPr>
              <w:pStyle w:val="InstructionsText"/>
            </w:pPr>
            <w:r>
              <w:t>Asetuksen (EU) N:o 575/2013 4 artiklan 1 kohdan 114 alakohta ja 59 artikla</w:t>
            </w:r>
          </w:p>
          <w:p w14:paraId="41A9A020" w14:textId="77777777" w:rsidR="00CC7D2C" w:rsidRPr="002A677E" w:rsidRDefault="00CC7D2C" w:rsidP="00320EFD">
            <w:pPr>
              <w:pStyle w:val="InstructionsText"/>
            </w:pPr>
            <w:r>
              <w:t>Asetuksen (EU) N:o 575/2013 59 artiklan a alakohdassa annetaan mahdollisuus kuitata lyhyet positiot samassa kohteena olevassa vastuussa edellyttäen, että lyhyen position erääntymispäivä on joko sama tai myöhempi kuin pitkän position erääntymispäivä tai lyhyen position jäljellä oleva maturiteetti on vähintään yksi vuosi.</w:t>
            </w:r>
          </w:p>
        </w:tc>
      </w:tr>
      <w:tr w:rsidR="00CC7D2C" w:rsidRPr="002A677E" w14:paraId="363F20CE" w14:textId="77777777" w:rsidTr="00822842">
        <w:tc>
          <w:tcPr>
            <w:tcW w:w="1474" w:type="dxa"/>
          </w:tcPr>
          <w:p w14:paraId="386B36DE" w14:textId="77777777" w:rsidR="00CC7D2C" w:rsidRPr="002A677E" w:rsidRDefault="00CC7D2C" w:rsidP="00320EFD">
            <w:pPr>
              <w:pStyle w:val="InstructionsText"/>
            </w:pPr>
            <w:r>
              <w:t>0571</w:t>
            </w:r>
          </w:p>
        </w:tc>
        <w:tc>
          <w:tcPr>
            <w:tcW w:w="7049" w:type="dxa"/>
          </w:tcPr>
          <w:p w14:paraId="0424C170" w14:textId="77777777" w:rsidR="00CC7D2C" w:rsidRPr="002A677E" w:rsidRDefault="00CC7D2C" w:rsidP="00320EFD">
            <w:pPr>
              <w:pStyle w:val="InstructionsText"/>
            </w:pPr>
            <w:r>
              <w:rPr>
                <w:rStyle w:val="InstructionsTabelleberschrift"/>
                <w:rFonts w:ascii="Times New Roman" w:hAnsi="Times New Roman"/>
                <w:sz w:val="24"/>
              </w:rPr>
              <w:t>16.3</w:t>
            </w:r>
            <w:r>
              <w:rPr>
                <w:rStyle w:val="InstructionsTabelleberschrift"/>
                <w:rFonts w:ascii="Times New Roman" w:hAnsi="Times New Roman"/>
                <w:sz w:val="24"/>
              </w:rPr>
              <w:tab/>
              <w:t>Synteettiset ensisijaisen lisäpääoman (AT1) omistusosuudet sellaisissa finanssialan yhteisöissä, joissa laitoksella on merkittävä sijoitus</w:t>
            </w:r>
          </w:p>
          <w:p w14:paraId="111D908D"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Asetuksen (EU) N:o 575/2013 4 artiklan 1 kohdan 126 alakohta sekä 58 ja 59 artikla</w:t>
            </w:r>
          </w:p>
        </w:tc>
      </w:tr>
      <w:tr w:rsidR="00CC7D2C" w:rsidRPr="002A677E" w14:paraId="30D98AA6" w14:textId="77777777" w:rsidTr="00822842">
        <w:tc>
          <w:tcPr>
            <w:tcW w:w="1474" w:type="dxa"/>
          </w:tcPr>
          <w:p w14:paraId="2EDA3F6D" w14:textId="77777777" w:rsidR="00CC7D2C" w:rsidRPr="002A677E" w:rsidRDefault="00CC7D2C" w:rsidP="00320EFD">
            <w:pPr>
              <w:pStyle w:val="InstructionsText"/>
            </w:pPr>
            <w:r>
              <w:t>0572</w:t>
            </w:r>
          </w:p>
        </w:tc>
        <w:tc>
          <w:tcPr>
            <w:tcW w:w="7049" w:type="dxa"/>
          </w:tcPr>
          <w:p w14:paraId="05C0021B" w14:textId="77777777" w:rsidR="00CC7D2C" w:rsidRPr="002A677E" w:rsidRDefault="00CC7D2C" w:rsidP="00320EFD">
            <w:pPr>
              <w:pStyle w:val="InstructionsText"/>
            </w:pPr>
            <w:r>
              <w:rPr>
                <w:rStyle w:val="InstructionsTabelleberschrift"/>
                <w:rFonts w:ascii="Times New Roman" w:hAnsi="Times New Roman"/>
                <w:sz w:val="24"/>
              </w:rPr>
              <w:t>16.3.1</w:t>
            </w:r>
            <w:r>
              <w:rPr>
                <w:rStyle w:val="InstructionsTabelleberschrift"/>
                <w:rFonts w:ascii="Times New Roman" w:hAnsi="Times New Roman"/>
                <w:sz w:val="24"/>
              </w:rPr>
              <w:tab/>
              <w:t>Synteettiset ensisijaisen lisäpääoman (AT1) omistusosuudet sellaisissa finanssialan yhteisöissä, joissa laitoksella on merkittävä sijoitus, brutto</w:t>
            </w:r>
          </w:p>
          <w:p w14:paraId="321D808E" w14:textId="77777777" w:rsidR="00CC7D2C" w:rsidRPr="002A677E" w:rsidRDefault="00CC7D2C" w:rsidP="00320EFD">
            <w:pPr>
              <w:pStyle w:val="InstructionsText"/>
              <w:rPr>
                <w:rStyle w:val="InstructionsTabelleberschrift"/>
                <w:rFonts w:ascii="Times New Roman" w:hAnsi="Times New Roman"/>
                <w:b w:val="0"/>
                <w:bCs w:val="0"/>
                <w:sz w:val="24"/>
                <w:u w:val="none"/>
              </w:rPr>
            </w:pPr>
            <w:r>
              <w:lastRenderedPageBreak/>
              <w:t>Asetuksen (EU) N:o 575/2013 4 artiklan 1 kohdan 126 alakohta sekä 58 ja 59 artikla</w:t>
            </w:r>
          </w:p>
        </w:tc>
      </w:tr>
      <w:tr w:rsidR="00CC7D2C" w:rsidRPr="002A677E" w14:paraId="5508FF5B" w14:textId="77777777" w:rsidTr="00822842">
        <w:tc>
          <w:tcPr>
            <w:tcW w:w="1474" w:type="dxa"/>
          </w:tcPr>
          <w:p w14:paraId="24A8CB96" w14:textId="77777777" w:rsidR="00CC7D2C" w:rsidRPr="002A677E" w:rsidRDefault="00CC7D2C" w:rsidP="00320EFD">
            <w:pPr>
              <w:pStyle w:val="InstructionsText"/>
            </w:pPr>
            <w:r>
              <w:lastRenderedPageBreak/>
              <w:t>0573</w:t>
            </w:r>
          </w:p>
        </w:tc>
        <w:tc>
          <w:tcPr>
            <w:tcW w:w="7049" w:type="dxa"/>
          </w:tcPr>
          <w:p w14:paraId="7A9705B1" w14:textId="77777777" w:rsidR="00CC7D2C" w:rsidRPr="002A677E" w:rsidRDefault="00CC7D2C" w:rsidP="00320EFD">
            <w:pPr>
              <w:pStyle w:val="InstructionsText"/>
            </w:pPr>
            <w:r>
              <w:rPr>
                <w:rStyle w:val="InstructionsTabelleberschrift"/>
                <w:rFonts w:ascii="Times New Roman" w:hAnsi="Times New Roman"/>
                <w:sz w:val="24"/>
              </w:rPr>
              <w:t>16.3.2</w:t>
            </w:r>
            <w:r>
              <w:rPr>
                <w:rStyle w:val="InstructionsTabelleberschrift"/>
                <w:rFonts w:ascii="Times New Roman" w:hAnsi="Times New Roman"/>
                <w:sz w:val="24"/>
              </w:rPr>
              <w:tab/>
              <w:t>(-) Edellisiin synteettisiin bruttomääräisiin omistusosuuksiin liittyvät sallitut lyhyiden positioiden kuittaukset</w:t>
            </w:r>
          </w:p>
          <w:p w14:paraId="0EC24D17" w14:textId="77777777" w:rsidR="00CC7D2C" w:rsidRPr="002A677E" w:rsidRDefault="00CC7D2C" w:rsidP="00320EFD">
            <w:pPr>
              <w:pStyle w:val="InstructionsText"/>
            </w:pPr>
            <w:r>
              <w:t>Asetuksen (EU) N:o 575/2013 4 artiklan 1 kohdan 126 alakohta ja 59 artikla</w:t>
            </w:r>
          </w:p>
          <w:p w14:paraId="4F143383" w14:textId="77777777" w:rsidR="00CC7D2C" w:rsidRPr="002A677E" w:rsidRDefault="00CC7D2C" w:rsidP="00320EFD">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Asetuksen (EU) N:o 575/2013 59 artiklan a alakohdassa annetaan mahdollisuus kuitata lyhyet positiot samassa kohteena olevassa vastuussa edellyttäen, että lyhyen position erääntymispäivä on joko sama tai myöhempi kuin pitkän position erääntymispäivä tai lyhyen position jäljellä oleva maturiteetti on vähintään yksi vuosi.</w:t>
            </w:r>
          </w:p>
        </w:tc>
      </w:tr>
      <w:tr w:rsidR="00CC7D2C" w:rsidRPr="002A677E" w14:paraId="71A70E5F" w14:textId="77777777" w:rsidTr="00822842">
        <w:tc>
          <w:tcPr>
            <w:tcW w:w="1474" w:type="dxa"/>
          </w:tcPr>
          <w:p w14:paraId="55392CEF" w14:textId="77777777" w:rsidR="00CC7D2C" w:rsidRPr="002A677E" w:rsidRDefault="00CC7D2C" w:rsidP="00320EFD">
            <w:pPr>
              <w:pStyle w:val="InstructionsText"/>
            </w:pPr>
            <w:r>
              <w:t>0580</w:t>
            </w:r>
          </w:p>
        </w:tc>
        <w:tc>
          <w:tcPr>
            <w:tcW w:w="7049" w:type="dxa"/>
          </w:tcPr>
          <w:p w14:paraId="0D7DB5BA" w14:textId="77777777" w:rsidR="00CC7D2C" w:rsidRPr="002A677E" w:rsidRDefault="00CC7D2C" w:rsidP="00320EFD">
            <w:pPr>
              <w:pStyle w:val="InstructionsText"/>
            </w:pPr>
            <w:r>
              <w:rPr>
                <w:rStyle w:val="InstructionsTabelleberschrift"/>
                <w:rFonts w:ascii="Times New Roman" w:hAnsi="Times New Roman"/>
                <w:sz w:val="24"/>
              </w:rPr>
              <w:t>17 Toissijaisen pääoman (T2) omistusosuudet sellaisissa finanssialan yhteisöissä, joissa laitoksella on merkittävä sijoitus, vähennettyinä lyhyiden positioiden määrällä</w:t>
            </w:r>
          </w:p>
          <w:p w14:paraId="2AB15F70" w14:textId="77777777" w:rsidR="00CC7D2C" w:rsidRPr="002A677E" w:rsidRDefault="00CC7D2C" w:rsidP="00320EFD">
            <w:pPr>
              <w:pStyle w:val="InstructionsText"/>
            </w:pPr>
            <w:r>
              <w:t>Asetuksen (EU) N:o 575/2013 68 ja 69 artikla</w:t>
            </w:r>
          </w:p>
        </w:tc>
      </w:tr>
      <w:tr w:rsidR="00CC7D2C" w:rsidRPr="002A677E" w14:paraId="3465B7C9" w14:textId="77777777" w:rsidTr="00822842">
        <w:tc>
          <w:tcPr>
            <w:tcW w:w="1474" w:type="dxa"/>
          </w:tcPr>
          <w:p w14:paraId="30DF45AE" w14:textId="77777777" w:rsidR="00CC7D2C" w:rsidRPr="002A677E" w:rsidRDefault="00CC7D2C" w:rsidP="00320EFD">
            <w:pPr>
              <w:pStyle w:val="InstructionsText"/>
            </w:pPr>
            <w:r>
              <w:t>0590</w:t>
            </w:r>
          </w:p>
        </w:tc>
        <w:tc>
          <w:tcPr>
            <w:tcW w:w="7049" w:type="dxa"/>
          </w:tcPr>
          <w:p w14:paraId="0080DEBC" w14:textId="77777777" w:rsidR="00CC7D2C" w:rsidRPr="002A677E" w:rsidRDefault="00CC7D2C" w:rsidP="00320EFD">
            <w:pPr>
              <w:pStyle w:val="InstructionsText"/>
            </w:pPr>
            <w:r>
              <w:rPr>
                <w:rStyle w:val="InstructionsTabelleberschrift"/>
                <w:rFonts w:ascii="Times New Roman" w:hAnsi="Times New Roman"/>
                <w:sz w:val="24"/>
              </w:rPr>
              <w:t>17.1</w:t>
            </w:r>
            <w:r>
              <w:rPr>
                <w:rStyle w:val="InstructionsTabelleberschrift"/>
                <w:rFonts w:ascii="Times New Roman" w:hAnsi="Times New Roman"/>
                <w:sz w:val="24"/>
              </w:rPr>
              <w:tab/>
              <w:t>Suorat toissijaisen pääoman (T2) omistusosuudet sellaisissa finanssialan yhteisöissä, joissa laitoksella on merkittävä sijoitus</w:t>
            </w:r>
          </w:p>
          <w:p w14:paraId="6AED8073" w14:textId="77777777" w:rsidR="00CC7D2C" w:rsidRPr="002A677E" w:rsidRDefault="00CC7D2C" w:rsidP="00320EFD">
            <w:pPr>
              <w:pStyle w:val="InstructionsText"/>
            </w:pPr>
            <w:r>
              <w:t>Asetuksen (EU) N:o 575/2013 68 ja 69 artikla</w:t>
            </w:r>
          </w:p>
        </w:tc>
      </w:tr>
      <w:tr w:rsidR="00CC7D2C" w:rsidRPr="002A677E" w14:paraId="55ED923E" w14:textId="77777777" w:rsidTr="00822842">
        <w:tc>
          <w:tcPr>
            <w:tcW w:w="1474" w:type="dxa"/>
          </w:tcPr>
          <w:p w14:paraId="3D4870B6" w14:textId="77777777" w:rsidR="00CC7D2C" w:rsidRPr="002A677E" w:rsidRDefault="00CC7D2C" w:rsidP="00320EFD">
            <w:pPr>
              <w:pStyle w:val="InstructionsText"/>
            </w:pPr>
            <w:r>
              <w:t>0600</w:t>
            </w:r>
          </w:p>
        </w:tc>
        <w:tc>
          <w:tcPr>
            <w:tcW w:w="7049" w:type="dxa"/>
          </w:tcPr>
          <w:p w14:paraId="1F18D607" w14:textId="77777777" w:rsidR="00CC7D2C" w:rsidRPr="002A677E" w:rsidRDefault="00CC7D2C" w:rsidP="00320EFD">
            <w:pPr>
              <w:pStyle w:val="InstructionsText"/>
            </w:pPr>
            <w:r>
              <w:rPr>
                <w:rStyle w:val="InstructionsTabelleberschrift"/>
                <w:rFonts w:ascii="Times New Roman" w:hAnsi="Times New Roman"/>
                <w:sz w:val="24"/>
              </w:rPr>
              <w:t>17.1.1</w:t>
            </w:r>
            <w:r>
              <w:rPr>
                <w:rStyle w:val="InstructionsTabelleberschrift"/>
                <w:rFonts w:ascii="Times New Roman" w:hAnsi="Times New Roman"/>
                <w:sz w:val="24"/>
              </w:rPr>
              <w:tab/>
              <w:t>Suorat toissijaisen pääoman (T2) omistusosuudet sellaisissa finanssialan yhteisöissä, joissa laitoksella on merkittävä sijoitus, brutto</w:t>
            </w:r>
          </w:p>
          <w:p w14:paraId="16D79134" w14:textId="77777777" w:rsidR="00CC7D2C" w:rsidRPr="002A677E" w:rsidRDefault="00CC7D2C" w:rsidP="00320EFD">
            <w:pPr>
              <w:pStyle w:val="InstructionsText"/>
            </w:pPr>
            <w:r>
              <w:t>Asetuksen (EU) N:o 575/2013 68 artikla</w:t>
            </w:r>
          </w:p>
          <w:p w14:paraId="66EA3661" w14:textId="77777777" w:rsidR="00CC7D2C" w:rsidRPr="002A677E" w:rsidRDefault="00CC7D2C" w:rsidP="00320EFD">
            <w:pPr>
              <w:pStyle w:val="InstructionsText"/>
            </w:pPr>
            <w:r>
              <w:t>Tässä kohdassa tarkoitetaan suoria omistusosuuksia sellaisten finanssialan yhteisöjen toissijaisesta pääomasta (T2), joissa laitoksella on merkittävä sijoitus. Niihin ei sisälly seuraavia:</w:t>
            </w:r>
          </w:p>
          <w:p w14:paraId="423513CF" w14:textId="77777777" w:rsidR="00CC7D2C" w:rsidRPr="002A677E" w:rsidRDefault="00CC7D2C" w:rsidP="00320EFD">
            <w:pPr>
              <w:pStyle w:val="InstructionsText"/>
            </w:pPr>
            <w:r>
              <w:t>a)</w:t>
            </w:r>
            <w:r>
              <w:tab/>
              <w:t xml:space="preserve">merkintäsitoumuksia koskevat positiot, joita pidetään enintään viisi työpäivää (asetuksen (EU) N:o 575/2013 66 artiklan d alakohta); ja </w:t>
            </w:r>
          </w:p>
          <w:p w14:paraId="0945CD9C" w14:textId="77777777" w:rsidR="00CC7D2C" w:rsidRPr="002A677E" w:rsidRDefault="00CC7D2C" w:rsidP="00320EFD">
            <w:pPr>
              <w:pStyle w:val="InstructionsText"/>
            </w:pPr>
            <w:r>
              <w:t>b)</w:t>
            </w:r>
            <w:r>
              <w:tab/>
              <w:t>omistusosuudet, joita käsitellään keskinäisinä ristiinomistuksina asetuksen (EU) N:o 575/2013 66 artiklan b alakohdan mukaisesti.</w:t>
            </w:r>
          </w:p>
        </w:tc>
      </w:tr>
      <w:tr w:rsidR="00CC7D2C" w:rsidRPr="002A677E" w14:paraId="2EED4ED3" w14:textId="77777777" w:rsidTr="00822842">
        <w:tc>
          <w:tcPr>
            <w:tcW w:w="1474" w:type="dxa"/>
          </w:tcPr>
          <w:p w14:paraId="161033AF" w14:textId="77777777" w:rsidR="00CC7D2C" w:rsidRPr="002A677E" w:rsidRDefault="00CC7D2C" w:rsidP="00320EFD">
            <w:pPr>
              <w:pStyle w:val="InstructionsText"/>
            </w:pPr>
            <w:r>
              <w:t>0610</w:t>
            </w:r>
          </w:p>
        </w:tc>
        <w:tc>
          <w:tcPr>
            <w:tcW w:w="7049" w:type="dxa"/>
          </w:tcPr>
          <w:p w14:paraId="069B8E47" w14:textId="77777777" w:rsidR="00CC7D2C" w:rsidRPr="002A677E" w:rsidRDefault="00CC7D2C" w:rsidP="00320EFD">
            <w:pPr>
              <w:pStyle w:val="InstructionsText"/>
            </w:pPr>
            <w:r>
              <w:rPr>
                <w:rStyle w:val="InstructionsTabelleberschrift"/>
                <w:rFonts w:ascii="Times New Roman" w:hAnsi="Times New Roman"/>
                <w:sz w:val="24"/>
              </w:rPr>
              <w:t>17.1.2</w:t>
            </w:r>
            <w:r>
              <w:rPr>
                <w:rStyle w:val="InstructionsTabelleberschrift"/>
                <w:rFonts w:ascii="Times New Roman" w:hAnsi="Times New Roman"/>
                <w:sz w:val="24"/>
              </w:rPr>
              <w:tab/>
              <w:t>(-) Edellisiin suoriin bruttomääräisiin omistusosuuksiin liittyvät sallitut lyhyiden positioiden kuittaukset</w:t>
            </w:r>
          </w:p>
          <w:p w14:paraId="18ADFB22" w14:textId="77777777" w:rsidR="00CC7D2C" w:rsidRPr="002A677E" w:rsidRDefault="00CC7D2C" w:rsidP="00320EFD">
            <w:pPr>
              <w:pStyle w:val="InstructionsText"/>
            </w:pPr>
            <w:r>
              <w:t>Asetuksen (EU) N:o 575/2013 69 artikla</w:t>
            </w:r>
          </w:p>
          <w:p w14:paraId="658809D0" w14:textId="77777777" w:rsidR="00CC7D2C" w:rsidRPr="002A677E" w:rsidRDefault="00CC7D2C" w:rsidP="00320EFD">
            <w:pPr>
              <w:pStyle w:val="InstructionsText"/>
            </w:pPr>
            <w:r>
              <w:t>Asetuksen (EU) N:o 575/2013 69 artiklan a alakohdassa annetaan mahdollisuus kuitata lyhyet positiot samassa kohteena olevassa vastuussa edellyttäen, että lyhyen position erääntymispäivä on joko sama tai myöhempi kuin pitkän position erääntymispäivä tai lyhyen position jäljellä oleva maturiteetti on vähintään yksi vuosi.</w:t>
            </w:r>
          </w:p>
        </w:tc>
      </w:tr>
      <w:tr w:rsidR="00CC7D2C" w:rsidRPr="002A677E" w14:paraId="186F2090" w14:textId="77777777" w:rsidTr="00822842">
        <w:tc>
          <w:tcPr>
            <w:tcW w:w="1474" w:type="dxa"/>
          </w:tcPr>
          <w:p w14:paraId="60F5BB75" w14:textId="77777777" w:rsidR="00CC7D2C" w:rsidRPr="002A677E" w:rsidRDefault="00CC7D2C" w:rsidP="00320EFD">
            <w:pPr>
              <w:pStyle w:val="InstructionsText"/>
            </w:pPr>
            <w:r>
              <w:lastRenderedPageBreak/>
              <w:t>0620</w:t>
            </w:r>
          </w:p>
        </w:tc>
        <w:tc>
          <w:tcPr>
            <w:tcW w:w="7049" w:type="dxa"/>
          </w:tcPr>
          <w:p w14:paraId="4E256A4B" w14:textId="77777777" w:rsidR="00CC7D2C" w:rsidRPr="002A677E" w:rsidRDefault="00CC7D2C" w:rsidP="00320EFD">
            <w:pPr>
              <w:pStyle w:val="InstructionsText"/>
            </w:pPr>
            <w:r>
              <w:rPr>
                <w:rStyle w:val="InstructionsTabelleberschrift"/>
                <w:rFonts w:ascii="Times New Roman" w:hAnsi="Times New Roman"/>
                <w:sz w:val="24"/>
              </w:rPr>
              <w:t>17.2</w:t>
            </w:r>
            <w:r>
              <w:rPr>
                <w:rStyle w:val="InstructionsTabelleberschrift"/>
                <w:rFonts w:ascii="Times New Roman" w:hAnsi="Times New Roman"/>
                <w:sz w:val="24"/>
              </w:rPr>
              <w:tab/>
              <w:t>Välilliset toissijaisen pääoman (T2) omistusosuudet sellaisissa finanssialan yhteisöissä, joissa laitoksella on merkittävä sijoitus</w:t>
            </w:r>
          </w:p>
          <w:p w14:paraId="0C6BA394" w14:textId="77777777" w:rsidR="00CC7D2C" w:rsidRPr="002A677E" w:rsidRDefault="00CC7D2C" w:rsidP="00320EFD">
            <w:pPr>
              <w:pStyle w:val="InstructionsText"/>
            </w:pPr>
            <w:r>
              <w:t>Asetuksen (EU) N:o 575/2013 4 artiklan 1 kohdan 114 alakohta sekä 68 ja 69 artikla</w:t>
            </w:r>
          </w:p>
        </w:tc>
      </w:tr>
      <w:tr w:rsidR="00CC7D2C" w:rsidRPr="002A677E" w14:paraId="3099D730" w14:textId="77777777" w:rsidTr="00822842">
        <w:tc>
          <w:tcPr>
            <w:tcW w:w="1474" w:type="dxa"/>
          </w:tcPr>
          <w:p w14:paraId="7A40E5D6" w14:textId="77777777" w:rsidR="00CC7D2C" w:rsidRPr="002A677E" w:rsidRDefault="00CC7D2C" w:rsidP="00320EFD">
            <w:pPr>
              <w:pStyle w:val="InstructionsText"/>
            </w:pPr>
            <w:r>
              <w:t>0630</w:t>
            </w:r>
          </w:p>
        </w:tc>
        <w:tc>
          <w:tcPr>
            <w:tcW w:w="7049" w:type="dxa"/>
          </w:tcPr>
          <w:p w14:paraId="26BE456B" w14:textId="77777777" w:rsidR="00CC7D2C" w:rsidRPr="002A677E" w:rsidRDefault="00CC7D2C" w:rsidP="00320EFD">
            <w:pPr>
              <w:pStyle w:val="InstructionsText"/>
            </w:pPr>
            <w:r>
              <w:rPr>
                <w:rStyle w:val="InstructionsTabelleberschrift"/>
                <w:rFonts w:ascii="Times New Roman" w:hAnsi="Times New Roman"/>
                <w:sz w:val="24"/>
              </w:rPr>
              <w:t>17.2.1</w:t>
            </w:r>
            <w:r>
              <w:rPr>
                <w:rStyle w:val="InstructionsTabelleberschrift"/>
                <w:rFonts w:ascii="Times New Roman" w:hAnsi="Times New Roman"/>
                <w:sz w:val="24"/>
              </w:rPr>
              <w:tab/>
              <w:t>Välilliset toissijaisen pääoman (T2) omistusosuudet sellaisissa finanssialan yhteisöissä, joissa laitoksella on merkittävä sijoitus, brutto</w:t>
            </w:r>
          </w:p>
          <w:p w14:paraId="6C79EB51" w14:textId="77777777" w:rsidR="00CC7D2C" w:rsidRPr="002A677E" w:rsidRDefault="00CC7D2C" w:rsidP="00320EFD">
            <w:pPr>
              <w:pStyle w:val="InstructionsText"/>
            </w:pPr>
            <w:r>
              <w:t>Asetuksen (EU) N:o 575/2013 4 artiklan 1 kohdan 114 alakohta sekä 68 ja 69 artikla</w:t>
            </w:r>
          </w:p>
          <w:p w14:paraId="1C456D47" w14:textId="77777777" w:rsidR="00CC7D2C" w:rsidRPr="002A677E" w:rsidRDefault="00CC7D2C" w:rsidP="00320EFD">
            <w:pPr>
              <w:pStyle w:val="InstructionsText"/>
            </w:pPr>
            <w:r>
              <w:t xml:space="preserve">Ilmoitettava määrä on niiden kaupankäyntivarastoon kuuluvien välillisten omistusosuuksien määrä, jotka laitoksella on finanssialan yhteisöjen </w:t>
            </w:r>
            <w:proofErr w:type="gramStart"/>
            <w:r>
              <w:t>pääomainstrumenteista</w:t>
            </w:r>
            <w:proofErr w:type="gramEnd"/>
            <w:r>
              <w:t xml:space="preserve"> ja jotka ovat muodoltaan omistusosuuksia indeksiarvopapereista. Tämä määrä saadaan laskemalla kohteena oleva vastuu, joka liittyy finanssialan yhteisöjen pääomainstrumentteihin kyseisissä indekseissä.</w:t>
            </w:r>
          </w:p>
          <w:p w14:paraId="2E7DF12B" w14:textId="77777777" w:rsidR="00CC7D2C" w:rsidRPr="002A677E" w:rsidRDefault="00CC7D2C" w:rsidP="00320EFD">
            <w:pPr>
              <w:pStyle w:val="InstructionsText"/>
            </w:pPr>
            <w:r>
              <w:t>Kohtaan ei sisällytetä omistusosuuksia, joita käsitellään keskinäisinä ristiinomistuksina asetuksen (EU) N:o 575/2013 66 artiklan b alakohdan mukaisesti.</w:t>
            </w:r>
          </w:p>
        </w:tc>
      </w:tr>
      <w:tr w:rsidR="00CC7D2C" w:rsidRPr="002A677E" w14:paraId="1E2990D7" w14:textId="77777777" w:rsidTr="00822842">
        <w:tc>
          <w:tcPr>
            <w:tcW w:w="1474" w:type="dxa"/>
          </w:tcPr>
          <w:p w14:paraId="18E11ABE" w14:textId="77777777" w:rsidR="00CC7D2C" w:rsidRPr="002A677E" w:rsidRDefault="00CC7D2C" w:rsidP="00320EFD">
            <w:pPr>
              <w:pStyle w:val="InstructionsText"/>
            </w:pPr>
            <w:r>
              <w:t>0640</w:t>
            </w:r>
          </w:p>
        </w:tc>
        <w:tc>
          <w:tcPr>
            <w:tcW w:w="7049" w:type="dxa"/>
          </w:tcPr>
          <w:p w14:paraId="0ECB9762" w14:textId="77777777" w:rsidR="00CC7D2C" w:rsidRPr="002A677E" w:rsidRDefault="00CC7D2C" w:rsidP="00320EFD">
            <w:pPr>
              <w:pStyle w:val="InstructionsText"/>
            </w:pPr>
            <w:r>
              <w:rPr>
                <w:rStyle w:val="InstructionsTabelleberschrift"/>
                <w:rFonts w:ascii="Times New Roman" w:hAnsi="Times New Roman"/>
                <w:sz w:val="24"/>
              </w:rPr>
              <w:t>17.2.2</w:t>
            </w:r>
            <w:r>
              <w:rPr>
                <w:rStyle w:val="InstructionsTabelleberschrift"/>
                <w:rFonts w:ascii="Times New Roman" w:hAnsi="Times New Roman"/>
                <w:sz w:val="24"/>
              </w:rPr>
              <w:tab/>
              <w:t>(-) Edellisiin välillisiin bruttomääräisiin omistusosuuksiin liittyvät sallitut lyhyiden positioiden kuittaukset</w:t>
            </w:r>
          </w:p>
          <w:p w14:paraId="337B5275" w14:textId="77777777" w:rsidR="00CC7D2C" w:rsidRPr="002A677E" w:rsidRDefault="00CC7D2C" w:rsidP="00320EFD">
            <w:pPr>
              <w:pStyle w:val="InstructionsText"/>
            </w:pPr>
            <w:r>
              <w:t>Asetuksen (EU) N:o 575/2013 4 artiklan 1 kohdan 114 alakohta ja 69 artikla</w:t>
            </w:r>
          </w:p>
          <w:p w14:paraId="1D1733C3" w14:textId="77777777" w:rsidR="00CC7D2C" w:rsidRPr="002A677E" w:rsidRDefault="00CC7D2C" w:rsidP="00320EFD">
            <w:pPr>
              <w:pStyle w:val="InstructionsText"/>
            </w:pPr>
            <w:r>
              <w:t>Asetuksen (EU) N:o 575/2013 69 artiklan a alakohdassa annetaan mahdollisuus kuitata lyhyet positiot samassa kohteena olevassa vastuussa edellyttäen, että lyhyen position erääntymispäivä on joko sama tai myöhempi kuin pitkän position erääntymispäivä tai lyhyen position jäljellä oleva maturiteetti on vähintään yksi vuosi.</w:t>
            </w:r>
          </w:p>
        </w:tc>
      </w:tr>
      <w:tr w:rsidR="00CC7D2C" w:rsidRPr="002A677E" w14:paraId="4BBC825C" w14:textId="77777777" w:rsidTr="00822842">
        <w:tc>
          <w:tcPr>
            <w:tcW w:w="1474" w:type="dxa"/>
          </w:tcPr>
          <w:p w14:paraId="3BA64925" w14:textId="77777777" w:rsidR="00CC7D2C" w:rsidRPr="002A677E" w:rsidRDefault="00CC7D2C" w:rsidP="00320EFD">
            <w:pPr>
              <w:pStyle w:val="InstructionsText"/>
            </w:pPr>
            <w:r>
              <w:t>0641</w:t>
            </w:r>
          </w:p>
        </w:tc>
        <w:tc>
          <w:tcPr>
            <w:tcW w:w="7049" w:type="dxa"/>
            <w:vAlign w:val="center"/>
          </w:tcPr>
          <w:p w14:paraId="7550DD64" w14:textId="77777777" w:rsidR="00CC7D2C" w:rsidRPr="002A677E" w:rsidRDefault="00CC7D2C" w:rsidP="00320EFD">
            <w:pPr>
              <w:pStyle w:val="InstructionsText"/>
            </w:pPr>
            <w:r>
              <w:rPr>
                <w:rStyle w:val="InstructionsTabelleberschrift"/>
                <w:rFonts w:ascii="Times New Roman" w:hAnsi="Times New Roman"/>
                <w:sz w:val="24"/>
              </w:rPr>
              <w:t>17.3</w:t>
            </w:r>
            <w:r>
              <w:rPr>
                <w:rStyle w:val="InstructionsTabelleberschrift"/>
                <w:rFonts w:ascii="Times New Roman" w:hAnsi="Times New Roman"/>
                <w:sz w:val="24"/>
              </w:rPr>
              <w:tab/>
              <w:t>Synteettiset toissijaisen pääoman (T2) omistusosuudet sellaisissa finanssialan yhteisöissä, joissa laitoksella on merkittävä sijoitus</w:t>
            </w:r>
          </w:p>
          <w:p w14:paraId="3A4A3413"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Asetuksen (EU) N:o 575/2013 4 artiklan 1 kohdan 126 alakohta sekä 68 ja 69 artikla</w:t>
            </w:r>
          </w:p>
        </w:tc>
      </w:tr>
      <w:tr w:rsidR="00CC7D2C" w:rsidRPr="002A677E" w14:paraId="51CCFD73" w14:textId="77777777" w:rsidTr="00822842">
        <w:tc>
          <w:tcPr>
            <w:tcW w:w="1474" w:type="dxa"/>
          </w:tcPr>
          <w:p w14:paraId="19E1EBE0" w14:textId="77777777" w:rsidR="00CC7D2C" w:rsidRPr="002A677E" w:rsidRDefault="00CC7D2C" w:rsidP="00320EFD">
            <w:pPr>
              <w:pStyle w:val="InstructionsText"/>
            </w:pPr>
            <w:r>
              <w:t>0642</w:t>
            </w:r>
          </w:p>
        </w:tc>
        <w:tc>
          <w:tcPr>
            <w:tcW w:w="7049" w:type="dxa"/>
            <w:vAlign w:val="center"/>
          </w:tcPr>
          <w:p w14:paraId="0B22ABCC" w14:textId="77777777" w:rsidR="00CC7D2C" w:rsidRPr="002A677E" w:rsidRDefault="00CC7D2C" w:rsidP="00320EFD">
            <w:pPr>
              <w:pStyle w:val="InstructionsText"/>
            </w:pPr>
            <w:r>
              <w:rPr>
                <w:rStyle w:val="InstructionsTabelleberschrift"/>
                <w:rFonts w:ascii="Times New Roman" w:hAnsi="Times New Roman"/>
                <w:sz w:val="24"/>
              </w:rPr>
              <w:t>17.3.1</w:t>
            </w:r>
            <w:r>
              <w:rPr>
                <w:rStyle w:val="InstructionsTabelleberschrift"/>
                <w:rFonts w:ascii="Times New Roman" w:hAnsi="Times New Roman"/>
                <w:sz w:val="24"/>
              </w:rPr>
              <w:tab/>
              <w:t>Synteettiset toissijaisen pääoman (T2) omistusosuudet sellaisissa finanssialan yhteisöissä, joissa laitoksella on merkittävä sijoitus, brutto</w:t>
            </w:r>
          </w:p>
          <w:p w14:paraId="4C256628"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Asetuksen (EU) N:o 575/2013 4 artiklan 1 kohdan 126 alakohta sekä 68 ja 69 artikla</w:t>
            </w:r>
          </w:p>
        </w:tc>
      </w:tr>
      <w:tr w:rsidR="00CC7D2C" w:rsidRPr="002A677E" w14:paraId="5FD57E23" w14:textId="77777777" w:rsidTr="00822842">
        <w:tc>
          <w:tcPr>
            <w:tcW w:w="1474" w:type="dxa"/>
          </w:tcPr>
          <w:p w14:paraId="4023F45A" w14:textId="77777777" w:rsidR="00CC7D2C" w:rsidRPr="002A677E" w:rsidRDefault="00CC7D2C" w:rsidP="00320EFD">
            <w:pPr>
              <w:pStyle w:val="InstructionsText"/>
            </w:pPr>
            <w:r>
              <w:t>0643</w:t>
            </w:r>
          </w:p>
        </w:tc>
        <w:tc>
          <w:tcPr>
            <w:tcW w:w="7049" w:type="dxa"/>
            <w:vAlign w:val="center"/>
          </w:tcPr>
          <w:p w14:paraId="3E61F6CA" w14:textId="77777777" w:rsidR="00CC7D2C" w:rsidRPr="002A677E" w:rsidRDefault="00CC7D2C" w:rsidP="00320EFD">
            <w:pPr>
              <w:pStyle w:val="InstructionsText"/>
            </w:pPr>
            <w:r>
              <w:rPr>
                <w:rStyle w:val="InstructionsTabelleberschrift"/>
                <w:rFonts w:ascii="Times New Roman" w:hAnsi="Times New Roman"/>
                <w:sz w:val="24"/>
              </w:rPr>
              <w:t>17.3.2</w:t>
            </w:r>
            <w:r>
              <w:rPr>
                <w:rStyle w:val="InstructionsTabelleberschrift"/>
                <w:rFonts w:ascii="Times New Roman" w:hAnsi="Times New Roman"/>
                <w:sz w:val="24"/>
              </w:rPr>
              <w:tab/>
              <w:t>(-) Edellisiin synteettisiin bruttomääräisiin omistusosuuksiin liittyvät sallitut lyhyiden positioiden kuittaukset</w:t>
            </w:r>
          </w:p>
          <w:p w14:paraId="4F4571E8" w14:textId="77777777" w:rsidR="00CC7D2C" w:rsidRPr="002A677E" w:rsidRDefault="00CC7D2C" w:rsidP="00320EFD">
            <w:pPr>
              <w:pStyle w:val="InstructionsText"/>
            </w:pPr>
            <w:r>
              <w:lastRenderedPageBreak/>
              <w:t>Asetuksen (EU) N:o 575/2013 4 artiklan 1 kohdan 126 alakohta ja 69 artikla</w:t>
            </w:r>
          </w:p>
          <w:p w14:paraId="362FB8E8" w14:textId="77777777" w:rsidR="00CC7D2C" w:rsidRPr="002A677E" w:rsidRDefault="00CC7D2C" w:rsidP="00320EFD">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Asetuksen (EU) N:o 575/2013 69 artiklan a alakohdassa annetaan mahdollisuus kuitata lyhyet positiot samassa kohteena olevassa vastuussa edellyttäen, että lyhyen position erääntymispäivä on joko sama tai myöhempi kuin pitkän position erääntymispäivä tai lyhyen position jäljellä oleva maturiteetti on vähintään yksi vuosi.</w:t>
            </w:r>
          </w:p>
        </w:tc>
      </w:tr>
      <w:tr w:rsidR="00CC7D2C" w:rsidRPr="002A677E" w14:paraId="40BA3B7E" w14:textId="77777777" w:rsidTr="00822842">
        <w:tc>
          <w:tcPr>
            <w:tcW w:w="1474" w:type="dxa"/>
          </w:tcPr>
          <w:p w14:paraId="1C54E719" w14:textId="77777777" w:rsidR="00CC7D2C" w:rsidRPr="002A677E" w:rsidRDefault="00CC7D2C" w:rsidP="00320EFD">
            <w:pPr>
              <w:pStyle w:val="InstructionsText"/>
            </w:pPr>
            <w:r>
              <w:lastRenderedPageBreak/>
              <w:t>0650</w:t>
            </w:r>
          </w:p>
        </w:tc>
        <w:tc>
          <w:tcPr>
            <w:tcW w:w="7049" w:type="dxa"/>
          </w:tcPr>
          <w:p w14:paraId="00327085" w14:textId="77777777" w:rsidR="00CC7D2C" w:rsidRPr="002A677E" w:rsidRDefault="00CC7D2C" w:rsidP="00320EFD">
            <w:pPr>
              <w:pStyle w:val="InstructionsText"/>
            </w:pPr>
            <w:r>
              <w:rPr>
                <w:rStyle w:val="InstructionsTabelleberschrift"/>
                <w:rFonts w:ascii="Times New Roman" w:hAnsi="Times New Roman"/>
                <w:sz w:val="24"/>
              </w:rPr>
              <w:t>18 Riskipainotetut vastuuerät, jotka koskevat sellaisia ensisijaisen lisäpääoman (CET1) omistusosuuksia finanssialan yhteisöissä, joita ei ole vähennetty laitoksen ensisijaisesta lisäpääomasta (CET1)</w:t>
            </w:r>
          </w:p>
          <w:p w14:paraId="2A1347E7" w14:textId="77777777" w:rsidR="00CC7D2C" w:rsidRPr="002A677E" w:rsidRDefault="00CC7D2C" w:rsidP="00320EFD">
            <w:pPr>
              <w:pStyle w:val="InstructionsText"/>
            </w:pPr>
            <w:r>
              <w:t>Asetuksen (EU) N:o 575/2013 46 artiklan 4 kohta, 48 artiklan 4 kohta ja 49 artiklan 4 kohta</w:t>
            </w:r>
          </w:p>
        </w:tc>
      </w:tr>
      <w:tr w:rsidR="00CC7D2C" w:rsidRPr="002A677E" w14:paraId="48CB694B" w14:textId="77777777" w:rsidTr="00822842">
        <w:tc>
          <w:tcPr>
            <w:tcW w:w="1474" w:type="dxa"/>
          </w:tcPr>
          <w:p w14:paraId="43891914" w14:textId="77777777" w:rsidR="00CC7D2C" w:rsidRPr="002A677E" w:rsidRDefault="00CC7D2C" w:rsidP="00320EFD">
            <w:pPr>
              <w:pStyle w:val="InstructionsText"/>
            </w:pPr>
            <w:r>
              <w:t>0660</w:t>
            </w:r>
          </w:p>
        </w:tc>
        <w:tc>
          <w:tcPr>
            <w:tcW w:w="7049" w:type="dxa"/>
          </w:tcPr>
          <w:p w14:paraId="7D93F8F7" w14:textId="77777777" w:rsidR="00CC7D2C" w:rsidRPr="002A677E" w:rsidRDefault="00CC7D2C" w:rsidP="00320EFD">
            <w:pPr>
              <w:pStyle w:val="InstructionsText"/>
            </w:pPr>
            <w:r>
              <w:rPr>
                <w:rStyle w:val="InstructionsTabelleberschrift"/>
                <w:rFonts w:ascii="Times New Roman" w:hAnsi="Times New Roman"/>
                <w:sz w:val="24"/>
              </w:rPr>
              <w:t>19 Riskipainotetut vastuuerät, jotka koskevat sellaisia ensisijaisen lisäpääoman (AT1) omistusosuuksia finanssialan yhteisöissä, joita ei ole vähennetty laitoksen ensisijaisesta lisäpääomasta (AT1)</w:t>
            </w:r>
          </w:p>
          <w:p w14:paraId="30C320BB" w14:textId="77777777" w:rsidR="00CC7D2C" w:rsidRPr="002A677E" w:rsidRDefault="00CC7D2C" w:rsidP="00320EFD">
            <w:pPr>
              <w:pStyle w:val="InstructionsText"/>
            </w:pPr>
            <w:r>
              <w:t>Asetuksen (EU) N:o 575/2013 60 artiklan 4 kohta</w:t>
            </w:r>
          </w:p>
        </w:tc>
      </w:tr>
      <w:tr w:rsidR="00CC7D2C" w:rsidRPr="002A677E" w14:paraId="1623E6A7" w14:textId="77777777" w:rsidTr="00822842">
        <w:tc>
          <w:tcPr>
            <w:tcW w:w="1474" w:type="dxa"/>
          </w:tcPr>
          <w:p w14:paraId="3E934766" w14:textId="77777777" w:rsidR="00CC7D2C" w:rsidRPr="002A677E" w:rsidRDefault="00CC7D2C" w:rsidP="00320EFD">
            <w:pPr>
              <w:pStyle w:val="InstructionsText"/>
            </w:pPr>
            <w:r>
              <w:t>0670</w:t>
            </w:r>
          </w:p>
        </w:tc>
        <w:tc>
          <w:tcPr>
            <w:tcW w:w="7049" w:type="dxa"/>
          </w:tcPr>
          <w:p w14:paraId="3326F623" w14:textId="77777777" w:rsidR="00CC7D2C" w:rsidRPr="002A677E" w:rsidRDefault="00CC7D2C" w:rsidP="00320EFD">
            <w:pPr>
              <w:pStyle w:val="InstructionsText"/>
            </w:pPr>
            <w:r>
              <w:rPr>
                <w:rStyle w:val="InstructionsTabelleberschrift"/>
                <w:rFonts w:ascii="Times New Roman" w:hAnsi="Times New Roman"/>
                <w:sz w:val="24"/>
              </w:rPr>
              <w:t>20 Riskipainotetut vastuuerät, jotka koskevat sellaisia ensisijaisen lisäpääoman (T2) omistusosuuksia finanssialan yhteisöissä, joita ei ole vähennetty laitoksen ensisijaisesta lisäpääomasta (T2)</w:t>
            </w:r>
          </w:p>
          <w:p w14:paraId="78BD6DA2" w14:textId="77777777" w:rsidR="00CC7D2C" w:rsidRPr="002A677E" w:rsidRDefault="00CC7D2C" w:rsidP="00320EFD">
            <w:pPr>
              <w:pStyle w:val="InstructionsText"/>
            </w:pPr>
            <w:r>
              <w:t>Asetuksen (EU) N:o 575/2013 70 artiklan 4 kohta</w:t>
            </w:r>
          </w:p>
        </w:tc>
      </w:tr>
      <w:tr w:rsidR="00CC7D2C" w:rsidRPr="002A677E" w14:paraId="28C63A85" w14:textId="77777777" w:rsidTr="00822842">
        <w:tc>
          <w:tcPr>
            <w:tcW w:w="1474" w:type="dxa"/>
          </w:tcPr>
          <w:p w14:paraId="7A543F73" w14:textId="77777777" w:rsidR="00CC7D2C" w:rsidRPr="002A677E" w:rsidRDefault="00CC7D2C" w:rsidP="00320EFD">
            <w:pPr>
              <w:pStyle w:val="InstructionsText"/>
            </w:pPr>
            <w:r>
              <w:t>0680</w:t>
            </w:r>
          </w:p>
        </w:tc>
        <w:tc>
          <w:tcPr>
            <w:tcW w:w="7049" w:type="dxa"/>
          </w:tcPr>
          <w:p w14:paraId="0D13141E" w14:textId="77777777" w:rsidR="00CC7D2C" w:rsidRPr="002A677E" w:rsidRDefault="00CC7D2C" w:rsidP="00320EFD">
            <w:pPr>
              <w:pStyle w:val="InstructionsText"/>
            </w:pPr>
            <w:r>
              <w:rPr>
                <w:rStyle w:val="InstructionsTabelleberschrift"/>
                <w:rFonts w:ascii="Times New Roman" w:hAnsi="Times New Roman"/>
                <w:sz w:val="24"/>
              </w:rPr>
              <w:t>21</w:t>
            </w:r>
            <w:r>
              <w:rPr>
                <w:rStyle w:val="InstructionsTabelleberschrift"/>
                <w:rFonts w:ascii="Times New Roman" w:hAnsi="Times New Roman"/>
                <w:sz w:val="24"/>
              </w:rPr>
              <w:tab/>
              <w:t>Hallussa olevat sellaisten finanssialan yhteisöjen, joissa laitoksella ei ole merkittävää sijoitusta, ydinpääoman (CET1) instrumentit, joihin sovelletaan väliaikaista poikkeusta</w:t>
            </w:r>
          </w:p>
          <w:p w14:paraId="2FF787C2" w14:textId="77777777" w:rsidR="00CC7D2C" w:rsidRPr="002A677E" w:rsidRDefault="00CC7D2C" w:rsidP="00320EFD">
            <w:pPr>
              <w:pStyle w:val="InstructionsText"/>
            </w:pPr>
            <w:r>
              <w:t>Asetuksen (EU) N:o 575/2013 79 artikla</w:t>
            </w:r>
          </w:p>
          <w:p w14:paraId="461FF48B" w14:textId="77777777" w:rsidR="00CC7D2C" w:rsidRPr="002A677E" w:rsidRDefault="00CC7D2C" w:rsidP="00320EFD">
            <w:pPr>
              <w:pStyle w:val="InstructionsText"/>
            </w:pPr>
            <w:r>
              <w:t>Toimivaltainen viranomainen voi väliaikaisesti olla soveltamatta ydinpääomaa (CET1) koskevia vähentämissäännöksiä tietyn finanssialan yhteisön instrumenteista olevien omistusosuuksien osalta, jos se arvioi, että kyseisiä omistusosuuksia pidetään hallussa rahoitustuen antamiseksi, minkä tavoitteena on kyseisen yhteisön uudelleenorganisointi ja pelastaminen.</w:t>
            </w:r>
          </w:p>
          <w:p w14:paraId="52F554E2" w14:textId="77777777" w:rsidR="00CC7D2C" w:rsidRPr="002A677E" w:rsidRDefault="00CC7D2C" w:rsidP="00320EFD">
            <w:pPr>
              <w:pStyle w:val="InstructionsText"/>
            </w:pPr>
            <w:r>
              <w:t>Nämä instrumentit on ilmoitettava myös kohdassa 12.1.</w:t>
            </w:r>
          </w:p>
        </w:tc>
      </w:tr>
      <w:tr w:rsidR="00CC7D2C" w:rsidRPr="002A677E" w14:paraId="33D6B99C" w14:textId="77777777" w:rsidTr="00822842">
        <w:tc>
          <w:tcPr>
            <w:tcW w:w="1474" w:type="dxa"/>
          </w:tcPr>
          <w:p w14:paraId="57BFC0AE" w14:textId="77777777" w:rsidR="00CC7D2C" w:rsidRPr="002A677E" w:rsidRDefault="00CC7D2C" w:rsidP="00320EFD">
            <w:pPr>
              <w:pStyle w:val="InstructionsText"/>
            </w:pPr>
            <w:r>
              <w:t>0690</w:t>
            </w:r>
          </w:p>
        </w:tc>
        <w:tc>
          <w:tcPr>
            <w:tcW w:w="7049" w:type="dxa"/>
          </w:tcPr>
          <w:p w14:paraId="724FAE2C" w14:textId="77777777" w:rsidR="00CC7D2C" w:rsidRPr="002A677E" w:rsidRDefault="00CC7D2C" w:rsidP="00320EFD">
            <w:pPr>
              <w:pStyle w:val="InstructionsText"/>
            </w:pPr>
            <w:r>
              <w:rPr>
                <w:rStyle w:val="InstructionsTabelleberschrift"/>
                <w:rFonts w:ascii="Times New Roman" w:hAnsi="Times New Roman"/>
                <w:sz w:val="24"/>
              </w:rPr>
              <w:t>22</w:t>
            </w:r>
            <w:r>
              <w:rPr>
                <w:rStyle w:val="InstructionsTabelleberschrift"/>
                <w:rFonts w:ascii="Times New Roman" w:hAnsi="Times New Roman"/>
                <w:sz w:val="24"/>
              </w:rPr>
              <w:tab/>
              <w:t>Hallussa olevat sellaisten finanssialan yhteisöjen, joissa laitoksella on merkittävä sijoitus, ydinpääoman (CET1) instrumentit, joihin sovelletaan väliaikaista poikkeusta</w:t>
            </w:r>
          </w:p>
          <w:p w14:paraId="75D9BB74" w14:textId="77777777" w:rsidR="00CC7D2C" w:rsidRPr="002A677E" w:rsidRDefault="00CC7D2C" w:rsidP="00320EFD">
            <w:pPr>
              <w:pStyle w:val="InstructionsText"/>
            </w:pPr>
            <w:r>
              <w:t>Asetuksen (EU) N:o 575/2013 79 artikla</w:t>
            </w:r>
          </w:p>
          <w:p w14:paraId="3CF93984" w14:textId="77777777" w:rsidR="00CC7D2C" w:rsidRPr="002A677E" w:rsidRDefault="00CC7D2C" w:rsidP="00320EFD">
            <w:pPr>
              <w:pStyle w:val="InstructionsText"/>
            </w:pPr>
            <w:r>
              <w:t xml:space="preserve">Toimivaltainen viranomainen voi olla soveltamatta ydinpääomaa (CET1) koskevia vähentämissäännöksiä tietyn finanssialan yhteisön instrumenteista olevien omistusosuuksien osalta, jos se arvioi, että kyseisiä omistusosuuksia pidetään hallussa rahoitustuen </w:t>
            </w:r>
            <w:r>
              <w:lastRenderedPageBreak/>
              <w:t>antamiseksi, minkä tavoitteena on kyseisen yhteisön uudelleenorganisointi ja pelastaminen.</w:t>
            </w:r>
          </w:p>
          <w:p w14:paraId="402057D7" w14:textId="77777777" w:rsidR="00CC7D2C" w:rsidRPr="002A677E" w:rsidRDefault="00CC7D2C" w:rsidP="00320EFD">
            <w:pPr>
              <w:pStyle w:val="InstructionsText"/>
            </w:pPr>
            <w:r>
              <w:t>Nämä instrumentit on ilmoitettava myös kohdassa 15.1.</w:t>
            </w:r>
          </w:p>
        </w:tc>
      </w:tr>
      <w:tr w:rsidR="00CC7D2C" w:rsidRPr="002A677E" w14:paraId="1ABB660F" w14:textId="77777777" w:rsidTr="00822842">
        <w:tc>
          <w:tcPr>
            <w:tcW w:w="1474" w:type="dxa"/>
          </w:tcPr>
          <w:p w14:paraId="4F9B5BBB" w14:textId="77777777" w:rsidR="00CC7D2C" w:rsidRPr="002A677E" w:rsidRDefault="00CC7D2C" w:rsidP="00320EFD">
            <w:pPr>
              <w:pStyle w:val="InstructionsText"/>
            </w:pPr>
            <w:r>
              <w:lastRenderedPageBreak/>
              <w:t>0700</w:t>
            </w:r>
          </w:p>
        </w:tc>
        <w:tc>
          <w:tcPr>
            <w:tcW w:w="7049" w:type="dxa"/>
          </w:tcPr>
          <w:p w14:paraId="161AE868" w14:textId="77777777" w:rsidR="00CC7D2C" w:rsidRPr="002A677E" w:rsidRDefault="00CC7D2C" w:rsidP="00320EFD">
            <w:pPr>
              <w:pStyle w:val="InstructionsText"/>
            </w:pPr>
            <w:r>
              <w:rPr>
                <w:rStyle w:val="InstructionsTabelleberschrift"/>
                <w:rFonts w:ascii="Times New Roman" w:hAnsi="Times New Roman"/>
                <w:sz w:val="24"/>
              </w:rPr>
              <w:t>23</w:t>
            </w:r>
            <w:r>
              <w:rPr>
                <w:rStyle w:val="InstructionsTabelleberschrift"/>
                <w:rFonts w:ascii="Times New Roman" w:hAnsi="Times New Roman"/>
                <w:sz w:val="24"/>
              </w:rPr>
              <w:tab/>
              <w:t>Hallussa olevat sellaisten finanssialan yhteisöjen, joissa laitoksella ei ole merkittävää sijoitusta, ensisijaisen lisäpääoman (AT1) instrumentit, joihin sovelletaan väliaikaista poikkeusta</w:t>
            </w:r>
          </w:p>
          <w:p w14:paraId="21529E99" w14:textId="77777777" w:rsidR="00CC7D2C" w:rsidRPr="002A677E" w:rsidRDefault="00CC7D2C" w:rsidP="00320EFD">
            <w:pPr>
              <w:pStyle w:val="InstructionsText"/>
            </w:pPr>
            <w:r>
              <w:t>Asetuksen (EU) N:o 575/2013 79 artikla</w:t>
            </w:r>
          </w:p>
          <w:p w14:paraId="799B0BA0" w14:textId="77777777" w:rsidR="00CC7D2C" w:rsidRPr="002A677E" w:rsidRDefault="00CC7D2C" w:rsidP="00320EFD">
            <w:pPr>
              <w:pStyle w:val="InstructionsText"/>
            </w:pPr>
            <w:r>
              <w:t>Toimivaltainen viranomainen voi väliaikaisesti olla soveltamatta ensisijaista lisäpääomaa (AT1) koskevia vähentämissäännöksiä tietyn finanssialan yhteisön instrumenteista olevien omistusosuuksien osalta, jos se arvioi, että kyseisiä omistusosuuksia pidetään hallussa rahoitustuen antamiseksi, minkä tavoitteena on kyseisen yhteisön uudelleenorganisointi ja pelastaminen.</w:t>
            </w:r>
          </w:p>
          <w:p w14:paraId="4C19F43B" w14:textId="77777777" w:rsidR="00CC7D2C" w:rsidRPr="002A677E" w:rsidRDefault="00CC7D2C" w:rsidP="00320EFD">
            <w:pPr>
              <w:pStyle w:val="InstructionsText"/>
            </w:pPr>
            <w:r>
              <w:t>Nämä instrumentit on ilmoitettava myös kohdassa 13.1.</w:t>
            </w:r>
          </w:p>
        </w:tc>
      </w:tr>
      <w:tr w:rsidR="00CC7D2C" w:rsidRPr="002A677E" w14:paraId="44ED5ED4" w14:textId="77777777" w:rsidTr="00822842">
        <w:tc>
          <w:tcPr>
            <w:tcW w:w="1474" w:type="dxa"/>
          </w:tcPr>
          <w:p w14:paraId="22471322" w14:textId="77777777" w:rsidR="00CC7D2C" w:rsidRPr="002A677E" w:rsidRDefault="00CC7D2C" w:rsidP="00320EFD">
            <w:pPr>
              <w:pStyle w:val="InstructionsText"/>
            </w:pPr>
            <w:r>
              <w:t>0710</w:t>
            </w:r>
          </w:p>
        </w:tc>
        <w:tc>
          <w:tcPr>
            <w:tcW w:w="7049" w:type="dxa"/>
          </w:tcPr>
          <w:p w14:paraId="1BB5D659" w14:textId="77777777" w:rsidR="00CC7D2C" w:rsidRPr="002A677E" w:rsidRDefault="00CC7D2C" w:rsidP="00320EFD">
            <w:pPr>
              <w:pStyle w:val="InstructionsText"/>
            </w:pPr>
            <w:r>
              <w:rPr>
                <w:rStyle w:val="InstructionsTabelleberschrift"/>
                <w:rFonts w:ascii="Times New Roman" w:hAnsi="Times New Roman"/>
                <w:sz w:val="24"/>
              </w:rPr>
              <w:t>24</w:t>
            </w:r>
            <w:r>
              <w:rPr>
                <w:rStyle w:val="InstructionsTabelleberschrift"/>
                <w:rFonts w:ascii="Times New Roman" w:hAnsi="Times New Roman"/>
                <w:sz w:val="24"/>
              </w:rPr>
              <w:tab/>
              <w:t>Hallussa olevat sellaisten finanssialan yhteisöjen, joissa laitoksella on merkittävä sijoitus, ensisijaisen lisäpääoman (AT1) instrumentit, joihin sovelletaan väliaikaista poikkeusta</w:t>
            </w:r>
          </w:p>
          <w:p w14:paraId="29ECC364" w14:textId="77777777" w:rsidR="00CC7D2C" w:rsidRPr="002A677E" w:rsidRDefault="00CC7D2C" w:rsidP="00320EFD">
            <w:pPr>
              <w:pStyle w:val="InstructionsText"/>
            </w:pPr>
            <w:r>
              <w:t>Asetuksen (EU) N:o 575/2013 79 artikla</w:t>
            </w:r>
          </w:p>
          <w:p w14:paraId="7B10897F" w14:textId="77777777" w:rsidR="00CC7D2C" w:rsidRPr="002A677E" w:rsidRDefault="00CC7D2C" w:rsidP="00320EFD">
            <w:pPr>
              <w:pStyle w:val="InstructionsText"/>
            </w:pPr>
            <w:r>
              <w:t>Toimivaltainen viranomainen voi väliaikaisesti olla soveltamatta ensisijaista lisäpääomaa (AT1) koskevia vähentämissäännöksiä tietyn finanssialan yhteisön instrumenteista olevien omistusosuuksien osalta, jos se arvioi, että kyseisiä omistusosuuksia pidetään hallussa rahoitustuen antamiseksi, minkä tavoitteena on kyseisen yhteisön uudelleenorganisointi ja pelastaminen.</w:t>
            </w:r>
          </w:p>
          <w:p w14:paraId="4477D9DA" w14:textId="77777777" w:rsidR="00CC7D2C" w:rsidRPr="002A677E" w:rsidRDefault="00CC7D2C" w:rsidP="00320EFD">
            <w:pPr>
              <w:pStyle w:val="InstructionsText"/>
            </w:pPr>
            <w:r>
              <w:t>Nämä instrumentit on ilmoitettava myös kohdassa 16.1.</w:t>
            </w:r>
          </w:p>
        </w:tc>
      </w:tr>
      <w:tr w:rsidR="00CC7D2C" w:rsidRPr="002A677E" w14:paraId="78052D02" w14:textId="77777777" w:rsidTr="00822842">
        <w:tc>
          <w:tcPr>
            <w:tcW w:w="1474" w:type="dxa"/>
          </w:tcPr>
          <w:p w14:paraId="615BD4AA" w14:textId="77777777" w:rsidR="00CC7D2C" w:rsidRPr="002A677E" w:rsidRDefault="00CC7D2C" w:rsidP="00320EFD">
            <w:pPr>
              <w:pStyle w:val="InstructionsText"/>
            </w:pPr>
            <w:r>
              <w:t>0720</w:t>
            </w:r>
          </w:p>
        </w:tc>
        <w:tc>
          <w:tcPr>
            <w:tcW w:w="7049" w:type="dxa"/>
          </w:tcPr>
          <w:p w14:paraId="1AFA5BF2" w14:textId="77777777" w:rsidR="00CC7D2C" w:rsidRPr="002A677E" w:rsidRDefault="00CC7D2C" w:rsidP="00320EFD">
            <w:pPr>
              <w:pStyle w:val="InstructionsText"/>
            </w:pPr>
            <w:r>
              <w:rPr>
                <w:rStyle w:val="InstructionsTabelleberschrift"/>
                <w:rFonts w:ascii="Times New Roman" w:hAnsi="Times New Roman"/>
                <w:sz w:val="24"/>
              </w:rPr>
              <w:t>25</w:t>
            </w:r>
            <w:r>
              <w:rPr>
                <w:rStyle w:val="InstructionsTabelleberschrift"/>
                <w:rFonts w:ascii="Times New Roman" w:hAnsi="Times New Roman"/>
                <w:sz w:val="24"/>
              </w:rPr>
              <w:tab/>
              <w:t>Hallussa olevat sellaisten finanssialan yhteisöjen, joissa laitoksella ei ole merkittävää sijoitusta, toissijaisen pääoman (T2) instrumentit, joihin sovelletaan väliaikaista poikkeusta</w:t>
            </w:r>
          </w:p>
          <w:p w14:paraId="11A612C2" w14:textId="77777777" w:rsidR="00CC7D2C" w:rsidRPr="002A677E" w:rsidRDefault="00CC7D2C" w:rsidP="00320EFD">
            <w:pPr>
              <w:pStyle w:val="InstructionsText"/>
            </w:pPr>
            <w:r>
              <w:t>Asetuksen (EU) N:o 575/2013 79 artikla</w:t>
            </w:r>
          </w:p>
          <w:p w14:paraId="2B2A46AA" w14:textId="77777777" w:rsidR="00CC7D2C" w:rsidRPr="002A677E" w:rsidRDefault="00CC7D2C" w:rsidP="00320EFD">
            <w:pPr>
              <w:pStyle w:val="InstructionsText"/>
            </w:pPr>
            <w:r>
              <w:t>Toimivaltainen viranomainen voi olla soveltamatta toissijaista pääomaa (T2) koskevia vähentämissäännöksiä tietyn finanssialan yhteisön instrumenteista olevien omistusosuuksien osalta, jos se arvioi, että kyseisiä omistusosuuksia pidetään hallussa rahoitustuen antamiseksi, minkä tavoitteena on kyseisen yhteisön uudelleenorganisointi ja pelastaminen.</w:t>
            </w:r>
          </w:p>
          <w:p w14:paraId="0FE5A55A" w14:textId="77777777" w:rsidR="00CC7D2C" w:rsidRPr="002A677E" w:rsidRDefault="00CC7D2C" w:rsidP="00320EFD">
            <w:pPr>
              <w:pStyle w:val="InstructionsText"/>
            </w:pPr>
            <w:r>
              <w:t>Nämä instrumentit on ilmoitettava myös kohdassa 14.1.</w:t>
            </w:r>
          </w:p>
        </w:tc>
      </w:tr>
      <w:tr w:rsidR="00CC7D2C" w:rsidRPr="002A677E" w14:paraId="553DEE26" w14:textId="77777777" w:rsidTr="00822842">
        <w:tc>
          <w:tcPr>
            <w:tcW w:w="1474" w:type="dxa"/>
          </w:tcPr>
          <w:p w14:paraId="799C9238" w14:textId="77777777" w:rsidR="00CC7D2C" w:rsidRPr="002A677E" w:rsidRDefault="00CC7D2C" w:rsidP="00320EFD">
            <w:pPr>
              <w:pStyle w:val="InstructionsText"/>
            </w:pPr>
            <w:r>
              <w:t>0730</w:t>
            </w:r>
          </w:p>
        </w:tc>
        <w:tc>
          <w:tcPr>
            <w:tcW w:w="7049" w:type="dxa"/>
          </w:tcPr>
          <w:p w14:paraId="06A26F26" w14:textId="77777777" w:rsidR="00CC7D2C" w:rsidRPr="002A677E" w:rsidRDefault="00CC7D2C" w:rsidP="00320EFD">
            <w:pPr>
              <w:pStyle w:val="InstructionsText"/>
            </w:pPr>
            <w:r>
              <w:rPr>
                <w:rStyle w:val="InstructionsTabelleberschrift"/>
                <w:rFonts w:ascii="Times New Roman" w:hAnsi="Times New Roman"/>
                <w:sz w:val="24"/>
              </w:rPr>
              <w:t>26</w:t>
            </w:r>
            <w:r>
              <w:rPr>
                <w:rStyle w:val="InstructionsTabelleberschrift"/>
                <w:rFonts w:ascii="Times New Roman" w:hAnsi="Times New Roman"/>
                <w:sz w:val="24"/>
              </w:rPr>
              <w:tab/>
              <w:t>Hallussa olevat sellaisten finanssialan yhteisöjen, joissa laitoksella on merkittävä sijoitus, toissijaisen pääoman (T2) instrumentit, joihin sovelletaan väliaikaista poikkeusta</w:t>
            </w:r>
          </w:p>
          <w:p w14:paraId="208EC193" w14:textId="77777777" w:rsidR="00CC7D2C" w:rsidRPr="002A677E" w:rsidRDefault="00CC7D2C" w:rsidP="00320EFD">
            <w:pPr>
              <w:pStyle w:val="InstructionsText"/>
            </w:pPr>
            <w:r>
              <w:t>Asetuksen (EU) N:o 575/2013 79 artikla</w:t>
            </w:r>
          </w:p>
          <w:p w14:paraId="1FA4E3CB" w14:textId="77777777" w:rsidR="00CC7D2C" w:rsidRPr="002A677E" w:rsidRDefault="00CC7D2C" w:rsidP="00320EFD">
            <w:pPr>
              <w:pStyle w:val="InstructionsText"/>
            </w:pPr>
            <w:r>
              <w:lastRenderedPageBreak/>
              <w:t>Toimivaltainen viranomainen voi olla soveltamatta toissijaista pääomaa (T2) koskevia vähentämissäännöksiä tietyn finanssialan yhteisön instrumenteista olevien omistusosuuksien osalta, jos se arvioi, että kyseisiä omistusosuuksia pidetään hallussa rahoitustuen antamiseksi, minkä tavoitteena on kyseisen yhteisön uudelleenorganisointi ja pelastaminen.</w:t>
            </w:r>
          </w:p>
          <w:p w14:paraId="13C3AFDA" w14:textId="77777777" w:rsidR="00CC7D2C" w:rsidRPr="002A677E" w:rsidRDefault="00CC7D2C" w:rsidP="00320EFD">
            <w:pPr>
              <w:pStyle w:val="InstructionsText"/>
            </w:pPr>
            <w:r>
              <w:t>Nämä instrumentit on ilmoitettava myös kohdassa 17.1.</w:t>
            </w:r>
          </w:p>
        </w:tc>
      </w:tr>
      <w:tr w:rsidR="00CC7D2C" w:rsidRPr="002A677E" w14:paraId="181B45DB"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43E60B3C" w14:textId="77777777" w:rsidR="00CC7D2C" w:rsidRPr="002A677E" w:rsidRDefault="00CC7D2C" w:rsidP="00320EFD">
            <w:pPr>
              <w:pStyle w:val="InstructionsText"/>
            </w:pPr>
            <w:r>
              <w:lastRenderedPageBreak/>
              <w:t>0740</w:t>
            </w:r>
          </w:p>
        </w:tc>
        <w:tc>
          <w:tcPr>
            <w:tcW w:w="7049" w:type="dxa"/>
            <w:tcBorders>
              <w:top w:val="single" w:sz="4" w:space="0" w:color="auto"/>
              <w:left w:val="single" w:sz="4" w:space="0" w:color="auto"/>
              <w:bottom w:val="single" w:sz="4" w:space="0" w:color="auto"/>
              <w:right w:val="single" w:sz="4" w:space="0" w:color="auto"/>
            </w:tcBorders>
          </w:tcPr>
          <w:p w14:paraId="6B49D80F" w14:textId="77777777" w:rsidR="00CC7D2C" w:rsidRPr="002A677E" w:rsidRDefault="00CC7D2C" w:rsidP="00320EFD">
            <w:pPr>
              <w:pStyle w:val="InstructionsText"/>
            </w:pPr>
            <w:r>
              <w:rPr>
                <w:rStyle w:val="InstructionsTabelleberschrift"/>
                <w:rFonts w:ascii="Times New Roman" w:hAnsi="Times New Roman"/>
                <w:sz w:val="24"/>
              </w:rPr>
              <w:t>27</w:t>
            </w:r>
            <w:r>
              <w:rPr>
                <w:rStyle w:val="InstructionsTabelleberschrift"/>
                <w:rFonts w:ascii="Times New Roman" w:hAnsi="Times New Roman"/>
                <w:sz w:val="24"/>
              </w:rPr>
              <w:tab/>
              <w:t>Yhteenlaskettu puskurivaatimus</w:t>
            </w:r>
          </w:p>
          <w:p w14:paraId="0AF29A6F" w14:textId="77777777" w:rsidR="00CC7D2C" w:rsidRPr="002A677E" w:rsidRDefault="00CC7D2C" w:rsidP="00320EFD">
            <w:pPr>
              <w:pStyle w:val="InstructionsText"/>
            </w:pPr>
            <w:r>
              <w:t>Direktiivin 2013/36/EU 128 artiklan 6 alakohta</w:t>
            </w:r>
          </w:p>
        </w:tc>
      </w:tr>
      <w:tr w:rsidR="00CC7D2C" w:rsidRPr="002A677E" w14:paraId="374B2E39"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9539881" w14:textId="77777777" w:rsidR="00CC7D2C" w:rsidRPr="002A677E" w:rsidRDefault="00CC7D2C" w:rsidP="00320EFD">
            <w:pPr>
              <w:pStyle w:val="InstructionsText"/>
            </w:pPr>
            <w:r>
              <w:t>0750</w:t>
            </w:r>
          </w:p>
        </w:tc>
        <w:tc>
          <w:tcPr>
            <w:tcW w:w="7049" w:type="dxa"/>
            <w:tcBorders>
              <w:top w:val="single" w:sz="4" w:space="0" w:color="auto"/>
              <w:left w:val="single" w:sz="4" w:space="0" w:color="auto"/>
              <w:bottom w:val="single" w:sz="4" w:space="0" w:color="auto"/>
              <w:right w:val="single" w:sz="4" w:space="0" w:color="auto"/>
            </w:tcBorders>
          </w:tcPr>
          <w:p w14:paraId="470E84AC" w14:textId="77777777" w:rsidR="00CC7D2C" w:rsidRPr="002A677E" w:rsidRDefault="00CC7D2C" w:rsidP="00320EFD">
            <w:pPr>
              <w:pStyle w:val="InstructionsText"/>
            </w:pPr>
            <w:r>
              <w:rPr>
                <w:rStyle w:val="InstructionsTabelleberschrift"/>
                <w:rFonts w:ascii="Times New Roman" w:hAnsi="Times New Roman"/>
                <w:sz w:val="24"/>
              </w:rPr>
              <w:t>Yleinen pääomapuskuri</w:t>
            </w:r>
          </w:p>
          <w:p w14:paraId="1304A556" w14:textId="77777777" w:rsidR="00CC7D2C" w:rsidRPr="002A677E" w:rsidRDefault="00CC7D2C" w:rsidP="00320EFD">
            <w:pPr>
              <w:pStyle w:val="InstructionsText"/>
            </w:pPr>
            <w:r>
              <w:t xml:space="preserve">Direktiivin 2013/36/EU 128 artiklan 1 alakohta ja 129 artikla </w:t>
            </w:r>
          </w:p>
          <w:p w14:paraId="34478878" w14:textId="77777777" w:rsidR="00CC7D2C" w:rsidRPr="002A677E" w:rsidRDefault="00CC7D2C" w:rsidP="00320EFD">
            <w:pPr>
              <w:pStyle w:val="InstructionsText"/>
            </w:pPr>
            <w:r>
              <w:t>Direktiivin 2013/36/EU 129 artiklan 1 kohdan mukaisesti yleisellä pääomapuskurilla tarkoitetaan ydinpääomaan (CET1) kuuluvaa lisäosuutta. Koska yleisen pääomapuskurin 2,5 prosentin taso on pysyvä, puskurin määrä on ilmoitettava tällä rivillä.</w:t>
            </w:r>
          </w:p>
        </w:tc>
      </w:tr>
      <w:tr w:rsidR="00CC7D2C" w:rsidRPr="002A677E" w14:paraId="794CD8BA"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A39173F" w14:textId="77777777" w:rsidR="00CC7D2C" w:rsidRPr="002A677E" w:rsidRDefault="00CC7D2C" w:rsidP="00320EFD">
            <w:pPr>
              <w:pStyle w:val="InstructionsText"/>
            </w:pPr>
            <w:r>
              <w:t>0760</w:t>
            </w:r>
          </w:p>
        </w:tc>
        <w:tc>
          <w:tcPr>
            <w:tcW w:w="7049" w:type="dxa"/>
            <w:tcBorders>
              <w:top w:val="single" w:sz="4" w:space="0" w:color="auto"/>
              <w:left w:val="single" w:sz="4" w:space="0" w:color="auto"/>
              <w:bottom w:val="single" w:sz="4" w:space="0" w:color="auto"/>
              <w:right w:val="single" w:sz="4" w:space="0" w:color="auto"/>
            </w:tcBorders>
          </w:tcPr>
          <w:p w14:paraId="5B3DC438" w14:textId="77777777" w:rsidR="00CC7D2C" w:rsidRPr="002A677E" w:rsidRDefault="00CC7D2C" w:rsidP="00320EFD">
            <w:pPr>
              <w:pStyle w:val="InstructionsText"/>
            </w:pPr>
            <w:r>
              <w:rPr>
                <w:rStyle w:val="InstructionsTabelleberschrift"/>
                <w:rFonts w:ascii="Times New Roman" w:hAnsi="Times New Roman"/>
                <w:sz w:val="24"/>
              </w:rPr>
              <w:t xml:space="preserve">Jäsenvaltiossa havaitusta makrovakausriskistä tai järjestelmäriskistä johtuva pääomapuskuri </w:t>
            </w:r>
          </w:p>
          <w:p w14:paraId="6B9D8D9B" w14:textId="77777777" w:rsidR="00CC7D2C" w:rsidRPr="002A677E" w:rsidRDefault="00CC7D2C" w:rsidP="00320EFD">
            <w:pPr>
              <w:pStyle w:val="InstructionsText"/>
            </w:pPr>
            <w:r>
              <w:t>Asetuksen (EU) N:o 575/2013 458 artiklan 2 kohdan d alakohdan iv alakohta</w:t>
            </w:r>
          </w:p>
          <w:p w14:paraId="164E576A" w14:textId="77777777" w:rsidR="00CC7D2C" w:rsidRPr="002A677E" w:rsidRDefault="00CC7D2C" w:rsidP="00320EFD">
            <w:pPr>
              <w:pStyle w:val="InstructionsText"/>
            </w:pPr>
            <w:r>
              <w:t>Tällä rivillä ilmoitetaan jäsenvaltiossa havaitusta makrovakausriskistä tai järjestelmäriskistä aiheutuvan pääomapuskurin määrä, jonka ilmoittamista yleisen pääomapuskurin ohella voidaan vaatia asetuksen (EU) N:o 575/2013 458 artiklan mukaisesti.</w:t>
            </w:r>
          </w:p>
          <w:p w14:paraId="567C4AC2" w14:textId="77777777" w:rsidR="00CC7D2C" w:rsidRPr="002A677E" w:rsidRDefault="00CC7D2C" w:rsidP="00320EFD">
            <w:pPr>
              <w:pStyle w:val="InstructionsText"/>
            </w:pPr>
            <w:r>
              <w:t>Ilmoitettavan määrän on vastattava sitä omien varojen määrää, joka tarvitaan täyttämään asianomaiset pääomapuskurivaatimukset raportointipäivänä.</w:t>
            </w:r>
          </w:p>
        </w:tc>
      </w:tr>
      <w:tr w:rsidR="00CC7D2C" w:rsidRPr="002A677E" w14:paraId="2FDB1631"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4235920" w14:textId="77777777" w:rsidR="00CC7D2C" w:rsidRPr="002A677E" w:rsidRDefault="00CC7D2C" w:rsidP="00320EFD">
            <w:pPr>
              <w:pStyle w:val="InstructionsText"/>
            </w:pPr>
            <w:r>
              <w:t>0770</w:t>
            </w:r>
          </w:p>
        </w:tc>
        <w:tc>
          <w:tcPr>
            <w:tcW w:w="7049" w:type="dxa"/>
            <w:tcBorders>
              <w:top w:val="single" w:sz="4" w:space="0" w:color="auto"/>
              <w:left w:val="single" w:sz="4" w:space="0" w:color="auto"/>
              <w:bottom w:val="single" w:sz="4" w:space="0" w:color="auto"/>
              <w:right w:val="single" w:sz="4" w:space="0" w:color="auto"/>
            </w:tcBorders>
          </w:tcPr>
          <w:p w14:paraId="2B1ED65A" w14:textId="77777777" w:rsidR="00CC7D2C" w:rsidRPr="002A677E" w:rsidRDefault="00CC7D2C" w:rsidP="00320EFD">
            <w:pPr>
              <w:pStyle w:val="InstructionsText"/>
            </w:pPr>
            <w:r>
              <w:rPr>
                <w:rStyle w:val="InstructionsTabelleberschrift"/>
                <w:rFonts w:ascii="Times New Roman" w:hAnsi="Times New Roman"/>
                <w:sz w:val="24"/>
              </w:rPr>
              <w:t xml:space="preserve">Laitoskohtainen vastasyklinen pääomapuskuri </w:t>
            </w:r>
          </w:p>
          <w:p w14:paraId="5911F73C" w14:textId="77777777" w:rsidR="00CC7D2C" w:rsidRPr="002A677E" w:rsidRDefault="00CC7D2C" w:rsidP="00320EFD">
            <w:pPr>
              <w:pStyle w:val="InstructionsText"/>
            </w:pPr>
            <w:r>
              <w:t xml:space="preserve">Direktiivin 2013/36/EU 128 artiklan 2 alakohta, 130 artikla ja 135–140 artikla </w:t>
            </w:r>
          </w:p>
          <w:p w14:paraId="2146B003" w14:textId="77777777" w:rsidR="00CC7D2C" w:rsidRPr="002A677E" w:rsidRDefault="00CC7D2C" w:rsidP="00320EFD">
            <w:pPr>
              <w:pStyle w:val="InstructionsText"/>
            </w:pPr>
            <w:r>
              <w:t>Ilmoitettavan määrän on vastattava sitä omien varojen määrää, joka tarvitaan täyttämään asianomaiset pääomapuskurivaatimukset raportointipäivänä.</w:t>
            </w:r>
          </w:p>
        </w:tc>
      </w:tr>
      <w:tr w:rsidR="00CC7D2C" w:rsidRPr="002A677E" w14:paraId="50C37F02"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2EF2B00" w14:textId="77777777" w:rsidR="00CC7D2C" w:rsidRPr="002A677E" w:rsidRDefault="00CC7D2C" w:rsidP="00320EFD">
            <w:pPr>
              <w:pStyle w:val="InstructionsText"/>
            </w:pPr>
            <w:r>
              <w:t>0780</w:t>
            </w:r>
          </w:p>
        </w:tc>
        <w:tc>
          <w:tcPr>
            <w:tcW w:w="7049" w:type="dxa"/>
            <w:tcBorders>
              <w:top w:val="single" w:sz="4" w:space="0" w:color="auto"/>
              <w:left w:val="single" w:sz="4" w:space="0" w:color="auto"/>
              <w:bottom w:val="single" w:sz="4" w:space="0" w:color="auto"/>
              <w:right w:val="single" w:sz="4" w:space="0" w:color="auto"/>
            </w:tcBorders>
          </w:tcPr>
          <w:p w14:paraId="2C514045" w14:textId="77777777" w:rsidR="00CC7D2C" w:rsidRPr="002A677E" w:rsidRDefault="00CC7D2C" w:rsidP="00320EFD">
            <w:pPr>
              <w:pStyle w:val="InstructionsText"/>
            </w:pPr>
            <w:r>
              <w:rPr>
                <w:rStyle w:val="InstructionsTabelleberschrift"/>
                <w:rFonts w:ascii="Times New Roman" w:hAnsi="Times New Roman"/>
                <w:sz w:val="24"/>
              </w:rPr>
              <w:t xml:space="preserve">Järjestelmäriskipuskuri </w:t>
            </w:r>
          </w:p>
          <w:p w14:paraId="441B636C" w14:textId="77777777" w:rsidR="00CC7D2C" w:rsidRPr="002A677E" w:rsidRDefault="00CC7D2C" w:rsidP="00320EFD">
            <w:pPr>
              <w:pStyle w:val="InstructionsText"/>
            </w:pPr>
            <w:r>
              <w:t xml:space="preserve">Direktiivin 2013/36/EU 128 artiklan 5 alakohta sekä 133 ja 134 artikla </w:t>
            </w:r>
          </w:p>
          <w:p w14:paraId="69C1F43C" w14:textId="77777777" w:rsidR="00CC7D2C" w:rsidRPr="002A677E" w:rsidRDefault="00CC7D2C" w:rsidP="00320EFD">
            <w:pPr>
              <w:pStyle w:val="InstructionsText"/>
            </w:pPr>
            <w:r>
              <w:t>Ilmoitettavan määrän on vastattava sitä omien varojen määrää, joka tarvitaan täyttämään asianomaiset pääomapuskurivaatimukset raportointipäivänä.</w:t>
            </w:r>
          </w:p>
        </w:tc>
      </w:tr>
      <w:tr w:rsidR="00CC7D2C" w:rsidRPr="002A677E" w14:paraId="3371B57B"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76EC4810" w14:textId="77777777" w:rsidR="00CC7D2C" w:rsidRPr="002A677E" w:rsidRDefault="00CC7D2C" w:rsidP="00320EFD">
            <w:pPr>
              <w:pStyle w:val="InstructionsText"/>
            </w:pPr>
            <w:r>
              <w:t>0800</w:t>
            </w:r>
          </w:p>
        </w:tc>
        <w:tc>
          <w:tcPr>
            <w:tcW w:w="7049" w:type="dxa"/>
            <w:tcBorders>
              <w:top w:val="single" w:sz="4" w:space="0" w:color="auto"/>
              <w:left w:val="single" w:sz="4" w:space="0" w:color="auto"/>
              <w:bottom w:val="single" w:sz="4" w:space="0" w:color="auto"/>
              <w:right w:val="single" w:sz="4" w:space="0" w:color="auto"/>
            </w:tcBorders>
          </w:tcPr>
          <w:p w14:paraId="619593EF"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Maailmanlaajuista järjestelmän kannalta merkittävää laitosta koskeva puskuri</w:t>
            </w:r>
          </w:p>
          <w:p w14:paraId="4259170F"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Direktiivin 2013/36/EU 128 artiklan 3 alakohta ja 131 artikla</w:t>
            </w:r>
          </w:p>
          <w:p w14:paraId="6ED66F1E" w14:textId="77777777" w:rsidR="00CC7D2C" w:rsidRPr="002A677E" w:rsidRDefault="00CC7D2C" w:rsidP="00320EFD">
            <w:pPr>
              <w:pStyle w:val="InstructionsText"/>
              <w:rPr>
                <w:rStyle w:val="InstructionsTabelleberschrift"/>
                <w:rFonts w:ascii="Times New Roman" w:hAnsi="Times New Roman"/>
                <w:b w:val="0"/>
                <w:bCs w:val="0"/>
                <w:sz w:val="24"/>
                <w:u w:val="none"/>
              </w:rPr>
            </w:pPr>
            <w:r>
              <w:lastRenderedPageBreak/>
              <w:t>Ilmoitettavan määrän on vastattava sitä omien varojen määrää, joka tarvitaan täyttämään asianomaiset pääomapuskurivaatimukset raportointipäivänä.</w:t>
            </w:r>
          </w:p>
        </w:tc>
      </w:tr>
      <w:tr w:rsidR="00CC7D2C" w:rsidRPr="002A677E" w14:paraId="79BE700D"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C4BF299" w14:textId="77777777" w:rsidR="00CC7D2C" w:rsidRPr="002A677E" w:rsidRDefault="00CC7D2C" w:rsidP="00320EFD">
            <w:pPr>
              <w:pStyle w:val="InstructionsText"/>
            </w:pPr>
            <w:r>
              <w:lastRenderedPageBreak/>
              <w:t>0810</w:t>
            </w:r>
          </w:p>
        </w:tc>
        <w:tc>
          <w:tcPr>
            <w:tcW w:w="7049" w:type="dxa"/>
            <w:tcBorders>
              <w:top w:val="single" w:sz="4" w:space="0" w:color="auto"/>
              <w:left w:val="single" w:sz="4" w:space="0" w:color="auto"/>
              <w:bottom w:val="single" w:sz="4" w:space="0" w:color="auto"/>
              <w:right w:val="single" w:sz="4" w:space="0" w:color="auto"/>
            </w:tcBorders>
          </w:tcPr>
          <w:p w14:paraId="78A692E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Muuta järjestelmän kannalta merkittävää laitosta koskeva puskuri </w:t>
            </w:r>
          </w:p>
          <w:p w14:paraId="295F628B"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Direktiivin 2013/36/EU 128 artiklan 4 alakohta ja 131 artikla</w:t>
            </w:r>
          </w:p>
          <w:p w14:paraId="4B543D3F" w14:textId="77777777" w:rsidR="00CC7D2C" w:rsidRPr="002A677E" w:rsidRDefault="00CC7D2C" w:rsidP="00320EFD">
            <w:pPr>
              <w:pStyle w:val="InstructionsText"/>
              <w:rPr>
                <w:rStyle w:val="InstructionsTabelleberschrift"/>
                <w:rFonts w:ascii="Times New Roman" w:hAnsi="Times New Roman"/>
                <w:b w:val="0"/>
                <w:bCs w:val="0"/>
                <w:sz w:val="24"/>
                <w:u w:val="none"/>
              </w:rPr>
            </w:pPr>
            <w:r>
              <w:t>Ilmoitettavan määrän on vastattava sitä omien varojen määrää, joka tarvitaan täyttämään asianomaiset pääomapuskurivaatimukset raportointipäivänä.</w:t>
            </w:r>
          </w:p>
        </w:tc>
      </w:tr>
      <w:tr w:rsidR="00CC7D2C" w:rsidRPr="002A677E" w14:paraId="79CF320F"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9DD9E95" w14:textId="77777777" w:rsidR="00CC7D2C" w:rsidRPr="002A677E" w:rsidRDefault="00CC7D2C" w:rsidP="00320EFD">
            <w:pPr>
              <w:pStyle w:val="InstructionsText"/>
            </w:pPr>
            <w:r>
              <w:t>0820</w:t>
            </w:r>
          </w:p>
        </w:tc>
        <w:tc>
          <w:tcPr>
            <w:tcW w:w="7049" w:type="dxa"/>
            <w:tcBorders>
              <w:top w:val="single" w:sz="4" w:space="0" w:color="auto"/>
              <w:left w:val="single" w:sz="4" w:space="0" w:color="auto"/>
              <w:bottom w:val="single" w:sz="4" w:space="0" w:color="auto"/>
              <w:right w:val="single" w:sz="4" w:space="0" w:color="auto"/>
            </w:tcBorders>
          </w:tcPr>
          <w:p w14:paraId="6619775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rPr>
                <w:rStyle w:val="InstructionsTabelleberschrift"/>
                <w:rFonts w:ascii="Times New Roman" w:hAnsi="Times New Roman"/>
                <w:sz w:val="24"/>
              </w:rPr>
              <w:tab/>
              <w:t>Toisen pilarin oikaisuihin liittyvät omien varojen vaatimukset</w:t>
            </w:r>
          </w:p>
          <w:p w14:paraId="7A04542A"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Direktiivin 2013/36/EU 104 a artiklan 1 kohta </w:t>
            </w:r>
          </w:p>
          <w:p w14:paraId="131DD05D"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Jos toimivaltainen viranomainen päättää, että laitoksen on laskettava toiseen pilariin perustuvia omien varojen lisävaatimuksia, näiden omien varojen lisävaatimusten määrä on raportoitava tällä rivillä. </w:t>
            </w:r>
          </w:p>
        </w:tc>
      </w:tr>
      <w:tr w:rsidR="00CC7D2C" w:rsidRPr="002A677E" w14:paraId="347C7B47"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CC06515" w14:textId="77777777" w:rsidR="00CC7D2C" w:rsidRPr="002A677E" w:rsidRDefault="00CC7D2C" w:rsidP="00320EFD">
            <w:pPr>
              <w:pStyle w:val="InstructionsText"/>
            </w:pPr>
            <w:r>
              <w:t>0830</w:t>
            </w:r>
          </w:p>
        </w:tc>
        <w:tc>
          <w:tcPr>
            <w:tcW w:w="7049" w:type="dxa"/>
            <w:tcBorders>
              <w:top w:val="single" w:sz="4" w:space="0" w:color="auto"/>
              <w:left w:val="single" w:sz="4" w:space="0" w:color="auto"/>
              <w:bottom w:val="single" w:sz="4" w:space="0" w:color="auto"/>
              <w:right w:val="single" w:sz="4" w:space="0" w:color="auto"/>
            </w:tcBorders>
          </w:tcPr>
          <w:p w14:paraId="1BF2A562"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rPr>
                <w:rStyle w:val="InstructionsTabelleberschrift"/>
                <w:rFonts w:ascii="Times New Roman" w:hAnsi="Times New Roman"/>
                <w:sz w:val="24"/>
              </w:rPr>
              <w:tab/>
              <w:t>Perustamispääoma</w:t>
            </w:r>
          </w:p>
          <w:p w14:paraId="46BF5068"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Direktiivin 2013/36/EU 12 artikla ja 28–31 artikla sekä asetuksen (EU) N:o 575/2013 93 artikla</w:t>
            </w:r>
          </w:p>
        </w:tc>
      </w:tr>
      <w:tr w:rsidR="00CC7D2C" w:rsidRPr="002A677E" w14:paraId="183DB6A2"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6920FF0" w14:textId="77777777" w:rsidR="00CC7D2C" w:rsidRPr="002A677E" w:rsidRDefault="00CC7D2C" w:rsidP="00320EFD">
            <w:pPr>
              <w:pStyle w:val="InstructionsText"/>
            </w:pPr>
            <w:r>
              <w:t>0840</w:t>
            </w:r>
          </w:p>
        </w:tc>
        <w:tc>
          <w:tcPr>
            <w:tcW w:w="7049" w:type="dxa"/>
            <w:tcBorders>
              <w:top w:val="single" w:sz="4" w:space="0" w:color="auto"/>
              <w:left w:val="single" w:sz="4" w:space="0" w:color="auto"/>
              <w:bottom w:val="single" w:sz="4" w:space="0" w:color="auto"/>
              <w:right w:val="single" w:sz="4" w:space="0" w:color="auto"/>
            </w:tcBorders>
          </w:tcPr>
          <w:p w14:paraId="4C7A260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rPr>
                <w:rStyle w:val="InstructionsTabelleberschrift"/>
                <w:rFonts w:ascii="Times New Roman" w:hAnsi="Times New Roman"/>
                <w:sz w:val="24"/>
              </w:rPr>
              <w:tab/>
              <w:t>Kiinteisiin yleiskustannuksiin perustuvat omat varat</w:t>
            </w:r>
          </w:p>
          <w:p w14:paraId="0512C5F3" w14:textId="77777777" w:rsidR="00CC7D2C" w:rsidRDefault="00CC7D2C" w:rsidP="00320EFD">
            <w:pPr>
              <w:pStyle w:val="InstructionsText"/>
            </w:pPr>
            <w:r>
              <w:rPr>
                <w:rStyle w:val="InstructionsTabelleberschrift"/>
                <w:rFonts w:ascii="Times New Roman" w:hAnsi="Times New Roman"/>
                <w:b w:val="0"/>
                <w:sz w:val="24"/>
                <w:u w:val="none"/>
              </w:rPr>
              <w:t>Asetuksen (EU) N:o 575/2013 95 artiklan 2 kohdan b alakohta, 96 artiklan 2 kohdan b alakohta, 97 artikla ja 98 artiklan 1 kohdan a alakohta</w:t>
            </w:r>
          </w:p>
          <w:p w14:paraId="3C40AD1B" w14:textId="77777777" w:rsidR="00CC7D2C" w:rsidRPr="00232921" w:rsidRDefault="00CC7D2C" w:rsidP="00320EFD">
            <w:pPr>
              <w:pStyle w:val="InstructionsText"/>
              <w:rPr>
                <w:rStyle w:val="InstructionsTabelleberschrift"/>
                <w:rFonts w:ascii="Times New Roman" w:hAnsi="Times New Roman"/>
                <w:b w:val="0"/>
                <w:sz w:val="24"/>
                <w:u w:val="none"/>
              </w:rPr>
            </w:pPr>
            <w:r>
              <w:t>Ilmoitettava määrä on edellä mainittujen artiklojen soveltamisesta saatava omien varojen vaatimus.</w:t>
            </w:r>
          </w:p>
        </w:tc>
      </w:tr>
      <w:tr w:rsidR="00CC7D2C" w:rsidRPr="002A677E" w14:paraId="175335EF"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29425D1" w14:textId="77777777" w:rsidR="00CC7D2C" w:rsidRPr="002A677E" w:rsidRDefault="00CC7D2C" w:rsidP="00320EFD">
            <w:pPr>
              <w:pStyle w:val="InstructionsText"/>
            </w:pPr>
            <w:r>
              <w:t>0850</w:t>
            </w:r>
          </w:p>
        </w:tc>
        <w:tc>
          <w:tcPr>
            <w:tcW w:w="7049" w:type="dxa"/>
            <w:tcBorders>
              <w:top w:val="single" w:sz="4" w:space="0" w:color="auto"/>
              <w:left w:val="single" w:sz="4" w:space="0" w:color="auto"/>
              <w:bottom w:val="single" w:sz="4" w:space="0" w:color="auto"/>
              <w:right w:val="single" w:sz="4" w:space="0" w:color="auto"/>
            </w:tcBorders>
          </w:tcPr>
          <w:p w14:paraId="587B88E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rPr>
                <w:rStyle w:val="InstructionsTabelleberschrift"/>
                <w:rFonts w:ascii="Times New Roman" w:hAnsi="Times New Roman"/>
                <w:sz w:val="24"/>
              </w:rPr>
              <w:tab/>
              <w:t>Muut kuin kotimaiset alkuperäiset vastuut</w:t>
            </w:r>
          </w:p>
          <w:p w14:paraId="16401F26"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Tässä kohdassa tarkoitetaan tietoja, jotka ovat edellytyksenä kynnysarvon laskemiselle CR GB -lomakkeen tietojen ilmoittamista varten tämän täytäntöönpanoasetuksen 5 artiklan 5 kohdan mukaisesti. Kynnysarvo lasketaan alkuperäisen vastuun perusteella ennen luottovasta-arvokertoimen soveltamista. </w:t>
            </w:r>
          </w:p>
          <w:p w14:paraId="34F7B9BD"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Vastuut katsotaan kotimaisiksi silloin, kun ne ovat sellaisiin vastapuoliin liittyviä vastuita, jotka sijaitsevat laitoksen kanssa samassa jäsenvaltiossa.</w:t>
            </w:r>
          </w:p>
          <w:p w14:paraId="1E9D65B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Poiketen siitä, mitä tämän täytäntöönpanoasetuksen 21 artiklan 1 kohdan a alakohdassa säädetään, tämä rivi on aina täytettävä.</w:t>
            </w:r>
          </w:p>
        </w:tc>
      </w:tr>
      <w:tr w:rsidR="00CC7D2C" w:rsidRPr="002A677E" w14:paraId="07A3EA7E"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E48C440" w14:textId="77777777" w:rsidR="00CC7D2C" w:rsidRPr="002A677E" w:rsidRDefault="00CC7D2C" w:rsidP="00320EFD">
            <w:pPr>
              <w:pStyle w:val="InstructionsText"/>
            </w:pPr>
            <w:r>
              <w:t>0860</w:t>
            </w:r>
          </w:p>
        </w:tc>
        <w:tc>
          <w:tcPr>
            <w:tcW w:w="7049" w:type="dxa"/>
            <w:tcBorders>
              <w:top w:val="single" w:sz="4" w:space="0" w:color="auto"/>
              <w:left w:val="single" w:sz="4" w:space="0" w:color="auto"/>
              <w:bottom w:val="single" w:sz="4" w:space="0" w:color="auto"/>
              <w:right w:val="single" w:sz="4" w:space="0" w:color="auto"/>
            </w:tcBorders>
          </w:tcPr>
          <w:p w14:paraId="789DAE74"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rPr>
                <w:rStyle w:val="InstructionsTabelleberschrift"/>
                <w:rFonts w:ascii="Times New Roman" w:hAnsi="Times New Roman"/>
                <w:sz w:val="24"/>
              </w:rPr>
              <w:tab/>
              <w:t>Alkuperäiset vastuut yhteensä</w:t>
            </w:r>
          </w:p>
          <w:p w14:paraId="543A84DC"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Tässä kohdassa tarkoitetaan tietoja, jotka ovat edellytyksenä kynnysarvon laskemiselle CR GB -lomakkeen tietojen ilmoittamista varten tämän täytäntöönpanoasetuksen 5 artiklan 5 kohdan mukaisesti. Kynnysarvo lasketaan alkuperäisen vastuun perusteella ennen luottovasta-arvokertoimen soveltamista.</w:t>
            </w:r>
          </w:p>
          <w:p w14:paraId="6407DB57"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Vastuut katsotaan kotimaisiksi silloin, kun ne ovat sellaisiin vastapuoliin liittyviä vastuita, jotka sijaitsevat laitoksen kanssa samassa jäsenvaltiossa.</w:t>
            </w:r>
          </w:p>
          <w:p w14:paraId="1C767645"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Poiketen siitä, mitä tämän täytäntöönpanoasetuksen 21 artiklan 1 kohdan a alakohdassa säädetään, tämä rivi on aina täytettävä.</w:t>
            </w:r>
          </w:p>
        </w:tc>
      </w:tr>
      <w:tr w:rsidR="00CC7D2C" w:rsidRPr="002A677E" w14:paraId="5AEAF4C5"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667AACE" w14:textId="77777777" w:rsidR="00CC7D2C" w:rsidRPr="002A677E" w:rsidRDefault="00CC7D2C" w:rsidP="00320EFD">
            <w:pPr>
              <w:pStyle w:val="InstructionsText"/>
            </w:pPr>
            <w:r>
              <w:lastRenderedPageBreak/>
              <w:t>0870</w:t>
            </w:r>
          </w:p>
        </w:tc>
        <w:tc>
          <w:tcPr>
            <w:tcW w:w="7049" w:type="dxa"/>
            <w:tcBorders>
              <w:top w:val="single" w:sz="4" w:space="0" w:color="auto"/>
              <w:left w:val="single" w:sz="4" w:space="0" w:color="auto"/>
              <w:bottom w:val="single" w:sz="4" w:space="0" w:color="auto"/>
              <w:right w:val="single" w:sz="4" w:space="0" w:color="auto"/>
            </w:tcBorders>
          </w:tcPr>
          <w:p w14:paraId="4210822B"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33   LATTIAN MUKAUTUS ENNEN SIIRTYMÄKAUDEN YLÄRAJAN SOVELTAMISTA</w:t>
            </w:r>
          </w:p>
          <w:p w14:paraId="0E5E8397" w14:textId="77777777" w:rsidR="00CC7D2C" w:rsidRPr="002A677E" w:rsidRDefault="00CC7D2C" w:rsidP="00320EFD">
            <w:pPr>
              <w:pStyle w:val="InstructionsText"/>
              <w:rPr>
                <w:rStyle w:val="InstructionsTabelleberschrift"/>
                <w:rFonts w:ascii="Times New Roman" w:hAnsi="Times New Roman"/>
                <w:sz w:val="24"/>
              </w:rPr>
            </w:pPr>
            <w:r>
              <w:t>Niiden laitosten osalta, joihin sovelletaan asetuksen (EU) N:o 575/2013 92 artiklan 3 kohdan mukaista kokonaisriskipainolattiaa, lattian mukautus soveltamatta asetuksen (EU) N:o 575/2013 465 artiklan 2 kohdassa vahvistettua siirtymäkauden ylärajaa.</w:t>
            </w:r>
          </w:p>
        </w:tc>
      </w:tr>
      <w:tr w:rsidR="00CC7D2C" w:rsidRPr="002A677E" w14:paraId="2F17B997"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2BD1D42" w14:textId="77777777" w:rsidR="00CC7D2C" w:rsidRDefault="00CC7D2C" w:rsidP="00320EFD">
            <w:pPr>
              <w:pStyle w:val="InstructionsText"/>
            </w:pPr>
            <w:r>
              <w:t>0880</w:t>
            </w:r>
          </w:p>
        </w:tc>
        <w:tc>
          <w:tcPr>
            <w:tcW w:w="7049" w:type="dxa"/>
            <w:tcBorders>
              <w:top w:val="single" w:sz="4" w:space="0" w:color="auto"/>
              <w:left w:val="single" w:sz="4" w:space="0" w:color="auto"/>
              <w:bottom w:val="single" w:sz="4" w:space="0" w:color="auto"/>
              <w:right w:val="single" w:sz="4" w:space="0" w:color="auto"/>
            </w:tcBorders>
          </w:tcPr>
          <w:p w14:paraId="2C1831D6"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34   LATTIAN MUKAUTUS SIIRTYMÄKAUDEN YLÄRAJAN SOVELTAMISEN JÄLKEEN</w:t>
            </w:r>
          </w:p>
          <w:p w14:paraId="373CB5D0" w14:textId="77777777" w:rsidR="00CC7D2C" w:rsidRDefault="00CC7D2C" w:rsidP="00320EFD">
            <w:pPr>
              <w:pStyle w:val="InstructionsText"/>
              <w:rPr>
                <w:rStyle w:val="InstructionsTabelleberschrift"/>
                <w:rFonts w:ascii="Times New Roman" w:hAnsi="Times New Roman"/>
                <w:sz w:val="24"/>
              </w:rPr>
            </w:pPr>
            <w:r>
              <w:t>Niiden laitosten osalta, joihin sovelletaan asetuksen (EU) N:o 575/2013 92 artiklan 3 kohdan mukaista kokonaisriskipainolattiaa, lattian mukautus asetuksen (EU) N:o 575/2013 465 artiklan 2 kohdassa vahvistetun siirtymäkauden ylärajan soveltamisen jälkeen.</w:t>
            </w:r>
          </w:p>
        </w:tc>
      </w:tr>
      <w:tr w:rsidR="00CC7D2C" w:rsidRPr="002A677E" w14:paraId="5E80DDB0"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C37A535" w14:textId="77777777" w:rsidR="00CC7D2C" w:rsidRPr="002A677E" w:rsidRDefault="00CC7D2C" w:rsidP="00320EFD">
            <w:pPr>
              <w:pStyle w:val="InstructionsText"/>
            </w:pPr>
            <w:r>
              <w:t>0890</w:t>
            </w:r>
          </w:p>
        </w:tc>
        <w:tc>
          <w:tcPr>
            <w:tcW w:w="7049" w:type="dxa"/>
            <w:tcBorders>
              <w:top w:val="single" w:sz="4" w:space="0" w:color="auto"/>
              <w:left w:val="single" w:sz="4" w:space="0" w:color="auto"/>
              <w:bottom w:val="single" w:sz="4" w:space="0" w:color="auto"/>
              <w:right w:val="single" w:sz="4" w:space="0" w:color="auto"/>
            </w:tcBorders>
          </w:tcPr>
          <w:p w14:paraId="3DC9A371"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35     TÄYSIMÄÄRÄISTEN VAATIMUSTEN MUKAINEN LATTIAN MUKAUTUS </w:t>
            </w:r>
          </w:p>
          <w:p w14:paraId="7B9000EF" w14:textId="77777777" w:rsidR="00CC7D2C" w:rsidRPr="002A677E" w:rsidRDefault="00CC7D2C" w:rsidP="00320EFD">
            <w:pPr>
              <w:pStyle w:val="InstructionsText"/>
              <w:rPr>
                <w:rStyle w:val="InstructionsTabelleberschrift"/>
                <w:rFonts w:ascii="Times New Roman" w:hAnsi="Times New Roman"/>
                <w:sz w:val="24"/>
              </w:rPr>
            </w:pPr>
            <w:r>
              <w:t>Niiden laitosten osalta, joihin sovelletaan asetuksen (EU) N:o 575/2013 92 artiklan 3 kohdan mukaista kokonaisriskipainolattiaa, lattian mukautus soveltamatta kaikkia asetuksen (EU) N:o 575/2013 465 artiklassa vahvistettuja siirtymäjärjestelyjä.</w:t>
            </w:r>
          </w:p>
        </w:tc>
      </w:tr>
      <w:tr w:rsidR="00CC7D2C" w:rsidRPr="002A677E" w14:paraId="1962C7AD"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0C5955D" w14:textId="77777777" w:rsidR="00CC7D2C" w:rsidRPr="002A677E" w:rsidRDefault="00CC7D2C" w:rsidP="00320EFD">
            <w:pPr>
              <w:pStyle w:val="InstructionsText"/>
            </w:pPr>
            <w:r>
              <w:t>0900</w:t>
            </w:r>
          </w:p>
        </w:tc>
        <w:tc>
          <w:tcPr>
            <w:tcW w:w="7049" w:type="dxa"/>
            <w:tcBorders>
              <w:top w:val="single" w:sz="4" w:space="0" w:color="auto"/>
              <w:left w:val="single" w:sz="4" w:space="0" w:color="auto"/>
              <w:bottom w:val="single" w:sz="4" w:space="0" w:color="auto"/>
              <w:right w:val="single" w:sz="4" w:space="0" w:color="auto"/>
            </w:tcBorders>
          </w:tcPr>
          <w:p w14:paraId="06FFBDE5"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36        Sovellettu kokonaisriskipainolattia (%)</w:t>
            </w:r>
          </w:p>
          <w:p w14:paraId="1C24BB02" w14:textId="77777777" w:rsidR="00CC7D2C" w:rsidRPr="002906CD" w:rsidRDefault="00CC7D2C" w:rsidP="00822842">
            <w:pPr>
              <w:autoSpaceDE w:val="0"/>
              <w:autoSpaceDN w:val="0"/>
              <w:adjustRightInd w:val="0"/>
              <w:spacing w:before="0" w:after="0"/>
              <w:jc w:val="left"/>
              <w:rPr>
                <w:rFonts w:ascii="Times New Roman" w:eastAsia="Arial" w:hAnsi="Times New Roman"/>
                <w:sz w:val="24"/>
              </w:rPr>
            </w:pPr>
            <w:r>
              <w:rPr>
                <w:rFonts w:ascii="Times New Roman" w:hAnsi="Times New Roman"/>
                <w:sz w:val="24"/>
              </w:rPr>
              <w:t>Pankin lattian mukautusta koskevaa arvoa laskiessaan soveltama kokonaisriskipainolattia prosentteina ilmaistuna:</w:t>
            </w:r>
          </w:p>
          <w:p w14:paraId="4826F3C6" w14:textId="77777777" w:rsidR="00CC7D2C" w:rsidRPr="002A677E" w:rsidRDefault="00CC7D2C" w:rsidP="00320EFD">
            <w:pPr>
              <w:pStyle w:val="InstructionsText"/>
              <w:rPr>
                <w:rStyle w:val="InstructionsTabelleberschrift"/>
                <w:rFonts w:ascii="Times New Roman" w:hAnsi="Times New Roman"/>
                <w:sz w:val="24"/>
              </w:rPr>
            </w:pPr>
            <w:r>
              <w:t xml:space="preserve"> asetuksen (EU) N:o 575/2013 92 artiklan 3 kohdassa ja 465 artiklan 1 kohdassa tarkoitettu kerroin x.</w:t>
            </w:r>
          </w:p>
        </w:tc>
      </w:tr>
    </w:tbl>
    <w:p w14:paraId="7D92FC07" w14:textId="77777777" w:rsidR="00CC7D2C" w:rsidRPr="002A677E" w:rsidRDefault="00CC7D2C" w:rsidP="00320EFD">
      <w:pPr>
        <w:pStyle w:val="InstructionsText"/>
      </w:pPr>
    </w:p>
    <w:p w14:paraId="0ADBA3FD" w14:textId="53CAE20D" w:rsidR="00CC7D2C" w:rsidRPr="002A677E" w:rsidRDefault="00CC7D2C" w:rsidP="00886567">
      <w:pPr>
        <w:pStyle w:val="Instructionsberschrift2"/>
        <w:numPr>
          <w:ilvl w:val="0"/>
          <w:numId w:val="0"/>
        </w:numPr>
        <w:ind w:left="357" w:hanging="357"/>
      </w:pPr>
      <w:bookmarkStart w:id="46" w:name="_Toc360188333"/>
      <w:bookmarkStart w:id="47" w:name="_Toc473560881"/>
      <w:bookmarkStart w:id="48" w:name="_Toc151714369"/>
      <w:bookmarkStart w:id="49" w:name="_Toc308175834"/>
      <w:r>
        <w:t>1</w:t>
      </w:r>
      <w:r w:rsidR="000B73D5">
        <w:t>.</w:t>
      </w:r>
      <w:r>
        <w:t>6</w:t>
      </w:r>
      <w:r>
        <w:tab/>
        <w:t>SIIRTYMÄSÄÄNNÖKSET JA MÄÄRÄAJAKSI VAPAUTETUT INSTRUMENTIT: VALTIONTUKEA SISÄLTÄMÄTTÖMÄT INSTRUMENTIT (CA5)</w:t>
      </w:r>
      <w:bookmarkEnd w:id="46"/>
      <w:bookmarkEnd w:id="47"/>
      <w:bookmarkEnd w:id="48"/>
    </w:p>
    <w:p w14:paraId="272ED5BD" w14:textId="77777777" w:rsidR="00CC7D2C" w:rsidRPr="002A677E" w:rsidRDefault="00CC7D2C" w:rsidP="00886567">
      <w:pPr>
        <w:pStyle w:val="Instructionsberschrift2"/>
        <w:numPr>
          <w:ilvl w:val="0"/>
          <w:numId w:val="0"/>
        </w:numPr>
        <w:ind w:left="357" w:hanging="357"/>
      </w:pPr>
      <w:bookmarkStart w:id="50" w:name="_Toc308175835"/>
      <w:bookmarkStart w:id="51" w:name="_Toc360188334"/>
      <w:bookmarkStart w:id="52" w:name="_Toc473560882"/>
      <w:bookmarkStart w:id="53" w:name="_Toc151714370"/>
      <w:bookmarkEnd w:id="49"/>
      <w:r>
        <w:t>1.6.1</w:t>
      </w:r>
      <w:r>
        <w:tab/>
        <w:t>Yleiset huomiot</w:t>
      </w:r>
      <w:bookmarkEnd w:id="50"/>
      <w:bookmarkEnd w:id="51"/>
      <w:bookmarkEnd w:id="52"/>
      <w:bookmarkEnd w:id="53"/>
    </w:p>
    <w:p w14:paraId="4ACA694F"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16</w:t>
      </w:r>
      <w:r>
        <w:fldChar w:fldCharType="end"/>
      </w:r>
      <w:r>
        <w:t>.</w:t>
      </w:r>
      <w:r>
        <w:tab/>
        <w:t xml:space="preserve">CA5-lomakkeissa esitetään yhteenveto asetuksen (EU) N:o 575/2013 465–491, 494 a ja 494 b artiklassa vahvistettujen siirtymäsäännösten soveltamisalaan kuuluvien omien varojen osatekijöiden ja vähennysten laskennasta. </w:t>
      </w:r>
    </w:p>
    <w:p w14:paraId="5236D7A3"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17</w:t>
      </w:r>
      <w:r>
        <w:fldChar w:fldCharType="end"/>
      </w:r>
      <w:r>
        <w:t>.</w:t>
      </w:r>
      <w:r>
        <w:tab/>
        <w:t>CA5 koostuu seuraavista osista:</w:t>
      </w:r>
    </w:p>
    <w:p w14:paraId="1CFB5D30" w14:textId="77777777" w:rsidR="00CC7D2C" w:rsidRPr="002A677E" w:rsidRDefault="00CC7D2C" w:rsidP="00886567">
      <w:pPr>
        <w:pStyle w:val="InstructionsText2"/>
        <w:numPr>
          <w:ilvl w:val="0"/>
          <w:numId w:val="0"/>
        </w:numPr>
        <w:ind w:left="993"/>
      </w:pPr>
      <w:r>
        <w:t>a)</w:t>
      </w:r>
      <w:r>
        <w:tab/>
        <w:t xml:space="preserve">CA5.1-lomake, jossa esitetään yhteenveto niiden oikaisujen kokonaismäärästä, jotka on tehtävä (CA1-lomakkeessa loppusäännösten mukaisesti ilmoitettujen) omien varojen eri omaisuuserille siirtymäsäännöksiä sovellettaessa. Tämän lomakkeen tietoelementit esitetään CA1-lomakkeen eri pääomaerien ”oikaisuina”, </w:t>
      </w:r>
      <w:r>
        <w:lastRenderedPageBreak/>
        <w:t>joiden tarkoituksena on heijastaa siirtymäsäännösten vaikutuksia omien varojen eriin.</w:t>
      </w:r>
    </w:p>
    <w:p w14:paraId="7232AD29" w14:textId="77777777" w:rsidR="00CC7D2C" w:rsidRPr="002A677E" w:rsidRDefault="00CC7D2C" w:rsidP="00886567">
      <w:pPr>
        <w:pStyle w:val="InstructionsText2"/>
        <w:numPr>
          <w:ilvl w:val="0"/>
          <w:numId w:val="0"/>
        </w:numPr>
        <w:ind w:left="993"/>
      </w:pPr>
      <w:r>
        <w:t>b)</w:t>
      </w:r>
      <w:r>
        <w:tab/>
        <w:t xml:space="preserve">5.2-lomake, jossa esitetään tarkempia tietoja niiden uusista säännöksistä määräajaksi vapautettujen instrumenttien laskennasta, jotka eivät sisällä valtiontukea. </w:t>
      </w:r>
    </w:p>
    <w:bookmarkStart w:id="54" w:name="_Toc307386943"/>
    <w:p w14:paraId="1D29FCFA" w14:textId="77777777" w:rsidR="00CC7D2C" w:rsidRPr="002A677E" w:rsidRDefault="00CC7D2C" w:rsidP="00886567">
      <w:pPr>
        <w:pStyle w:val="InstructionsText2"/>
        <w:numPr>
          <w:ilvl w:val="0"/>
          <w:numId w:val="0"/>
        </w:numPr>
      </w:pPr>
      <w:r w:rsidRPr="00624117">
        <w:fldChar w:fldCharType="begin"/>
      </w:r>
      <w:r w:rsidRPr="002A677E">
        <w:instrText xml:space="preserve"> seq paragraphs </w:instrText>
      </w:r>
      <w:r w:rsidRPr="00624117">
        <w:fldChar w:fldCharType="separate"/>
      </w:r>
      <w:r>
        <w:t>18</w:t>
      </w:r>
      <w:r w:rsidRPr="00624117">
        <w:fldChar w:fldCharType="end"/>
      </w:r>
      <w:r>
        <w:t>.</w:t>
      </w:r>
      <w:r>
        <w:tab/>
        <w:t>Laitosten on ilmoitettava ensimmäisissä neljässä sarakkeessa oikaisut ydinpääomaan (CET1), ensisijaiseen lisäpääomaan (AT1) ja toissijaiseen pääomaan (T2) sekä määrään, jota käsitellään riskipainotettuina varoina. Laitosten on myös ilmoitettava sovellettava prosenttiosuus sarakkeessa 0050 ja hyväksyttävä määrä ilman siirtymäsääntöjen huomioimista sarakkeessa 0060.</w:t>
      </w:r>
    </w:p>
    <w:p w14:paraId="6EDAB8B1"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19</w:t>
      </w:r>
      <w:r>
        <w:fldChar w:fldCharType="end"/>
      </w:r>
      <w:r>
        <w:t>.</w:t>
      </w:r>
      <w:r>
        <w:tab/>
        <w:t>Laitosten on ilmoitettava CA5-lomakkeen tietoelementit vain sillä kaudella, jonka aikana sovelletaan asetuksen (EU) N:o 575/2013 kymmenennessä osassa vahvistettuja siirtymäsäännöksiä.</w:t>
      </w:r>
    </w:p>
    <w:p w14:paraId="57EC4F24"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20</w:t>
      </w:r>
      <w:r>
        <w:fldChar w:fldCharType="end"/>
      </w:r>
      <w:r>
        <w:t>.</w:t>
      </w:r>
      <w:r>
        <w:tab/>
        <w:t>Tietyt siirtymäsäännökset edellyttävät vähennyksiä ensisijaisesta pääomasta (T1). Tällaisissa tapauksissa vähennyksen tai vähennysten jäljelle jäävää määrää sovelletaan ensisijaiseen pääomaan (T1), ja jos ensisijainen lisäpääoma (AT1) ei riitä kattamaan tätä määrää, ylittävä osuus vähennetään ydinpääomasta (CET1).</w:t>
      </w:r>
    </w:p>
    <w:p w14:paraId="1FA50733" w14:textId="77777777" w:rsidR="00CC7D2C" w:rsidRPr="002A677E" w:rsidRDefault="00CC7D2C" w:rsidP="00886567">
      <w:pPr>
        <w:pStyle w:val="Instructionsberschrift2"/>
        <w:numPr>
          <w:ilvl w:val="0"/>
          <w:numId w:val="0"/>
        </w:numPr>
      </w:pPr>
      <w:bookmarkStart w:id="55" w:name="_Toc473560883"/>
      <w:bookmarkStart w:id="56" w:name="_Toc151714371"/>
      <w:bookmarkStart w:id="57" w:name="_Toc360188335"/>
      <w:bookmarkStart w:id="58" w:name="_Toc308175836"/>
      <w:bookmarkEnd w:id="54"/>
      <w:r>
        <w:t>1.6.2.</w:t>
      </w:r>
      <w:r>
        <w:tab/>
        <w:t>C 05.01 – SIIRTYMÄSÄÄNNÖKSET (CA5.1)</w:t>
      </w:r>
      <w:bookmarkEnd w:id="55"/>
      <w:bookmarkEnd w:id="56"/>
      <w:r>
        <w:t xml:space="preserve"> </w:t>
      </w:r>
      <w:bookmarkEnd w:id="57"/>
      <w:bookmarkEnd w:id="58"/>
    </w:p>
    <w:p w14:paraId="1911F151"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21</w:t>
      </w:r>
      <w:r>
        <w:fldChar w:fldCharType="end"/>
      </w:r>
      <w:r>
        <w:t>.</w:t>
      </w:r>
      <w:r>
        <w:tab/>
        <w:t xml:space="preserve">Laitosten on ilmoitettava CA5.1-lomakkeessa tiedot asetuksen (EU) N:o 575/2013 465–491, 494 a ja 494 b artiklassa vahvistetuista omien varojen eriä koskevista siirtymäsäännöksistä, joita tässä sovelletaan kyseisen asetuksen toisen osan II osastossa vahvistettujen loppusäännösten sijasta. </w:t>
      </w:r>
    </w:p>
    <w:p w14:paraId="60637655"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22</w:t>
      </w:r>
      <w:r>
        <w:fldChar w:fldCharType="end"/>
      </w:r>
      <w:r>
        <w:t>.</w:t>
      </w:r>
      <w:r>
        <w:tab/>
        <w:t>Laitosten on ilmoitettava riveillä 0060–0065 tiedot uusista säännöksistä määräajaksi vapautettuja instrumentteja koskevista siirtymäsäännöksistä. CA5.1-lomakkeen rivillä 0060 ilmoitettavat luvut ilmentävät asetukseen (EU) N:o 575/2013, sellaisena kuin sitä sovelletaan 26 päivään kesäkuuta 2019 asti, sisältyviä siirtymäsäännöksiä ja ne voidaan johtaa CA5.2-lomakkeen vastaavista osioista. Rivit 0061–0065 osoittavat asetuksen (EU) N:o 575/2013 494 a ja 494 b artiklan siirtymäsäännösten vaikutuksen.</w:t>
      </w:r>
    </w:p>
    <w:p w14:paraId="62BF86C6"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23</w:t>
      </w:r>
      <w:r>
        <w:fldChar w:fldCharType="end"/>
      </w:r>
      <w:r>
        <w:t>.</w:t>
      </w:r>
      <w:r>
        <w:tab/>
        <w:t>Laitosten on ilmoitettava riveillä 0070–0092 tiedot vähemmistöosuuksia ja tytäryritysten liikkeeseen laskemia ensisijaisen lisäpääoman (AT1) ja toissijaisen pääoman (T2) instrumentteja koskevista (asetuksen (EU) N:o 575/2013 479 ja 480 artiklan mukaisista) siirtymäsäännöksistä.</w:t>
      </w:r>
    </w:p>
    <w:p w14:paraId="68A24959"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24</w:t>
      </w:r>
      <w:r>
        <w:fldChar w:fldCharType="end"/>
      </w:r>
      <w:r>
        <w:t>.</w:t>
      </w:r>
      <w:r>
        <w:tab/>
        <w:t>Riviltä 0100 alkaen laitosten on ilmoitettava tiedot realisoitumattomia voittoja ja tappioita, vähennyksiä sekä ylimääräisiä suodattimia ja vähennyksiä koskevien siirtymäsäännösten ja IFRS 9:n vaikutuksista.</w:t>
      </w:r>
    </w:p>
    <w:p w14:paraId="34E4B8FE"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25</w:t>
      </w:r>
      <w:r>
        <w:fldChar w:fldCharType="end"/>
      </w:r>
      <w:r>
        <w:t>.</w:t>
      </w:r>
      <w:r>
        <w:tab/>
        <w:t xml:space="preserve">On mahdollista, että ilmenee tapauksia, joissa ydinpääoman (CET1), ensisijaisen lisäpääoman (AT1) tai toissijaisen pääoman (T2) siirtymäsäännöksistä aiheutuvat vähennykset ylittävät laitoksen ydinpääoman (CET1), ensisijaisen lisäpääoman (AT1) tai toissijaisen pääoman (T2). Tämä vaikutus – mikäli se johtuu siirtymäsäännöksistä – on esitettävä CA1-lomakkeessa käyttämällä asianmukaisia soluja. Näin ollen CA5-lomakkeen sarakkeissa esitetyt </w:t>
      </w:r>
      <w:r>
        <w:lastRenderedPageBreak/>
        <w:t xml:space="preserve">oikaisut eivät saa sisältää minkäänlaisia käytettävissä olevan pääoman riittämättömyydestä johtuvia heijastusvaikutuksia. </w:t>
      </w:r>
    </w:p>
    <w:p w14:paraId="4599C410" w14:textId="77777777" w:rsidR="00CC7D2C" w:rsidRPr="002A677E" w:rsidRDefault="00CC7D2C" w:rsidP="00886567">
      <w:pPr>
        <w:pStyle w:val="Instructionsberschrift2"/>
        <w:numPr>
          <w:ilvl w:val="0"/>
          <w:numId w:val="0"/>
        </w:numPr>
        <w:ind w:left="357" w:hanging="357"/>
      </w:pPr>
      <w:bookmarkStart w:id="59" w:name="_Toc360188336"/>
      <w:bookmarkStart w:id="60" w:name="_Toc473560884"/>
      <w:bookmarkStart w:id="61" w:name="_Toc151714372"/>
      <w:r>
        <w:t>1.6.2.1</w:t>
      </w:r>
      <w:r>
        <w:tab/>
        <w:t>Positiokohtaiset ohjeet</w:t>
      </w:r>
      <w:bookmarkEnd w:id="59"/>
      <w:bookmarkEnd w:id="60"/>
      <w:bookmarkEnd w:id="61"/>
    </w:p>
    <w:p w14:paraId="370360D8" w14:textId="77777777" w:rsidR="00CC7D2C" w:rsidRPr="002A677E" w:rsidRDefault="00CC7D2C" w:rsidP="00CC7D2C">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6"/>
        <w:gridCol w:w="7421"/>
      </w:tblGrid>
      <w:tr w:rsidR="00CC7D2C" w:rsidRPr="002A677E" w14:paraId="017BD371" w14:textId="77777777" w:rsidTr="00822842">
        <w:tc>
          <w:tcPr>
            <w:tcW w:w="8372" w:type="dxa"/>
            <w:gridSpan w:val="2"/>
            <w:shd w:val="clear" w:color="auto" w:fill="D9D9D9"/>
          </w:tcPr>
          <w:p w14:paraId="17A71FCE" w14:textId="77777777" w:rsidR="00CC7D2C" w:rsidRPr="002A677E" w:rsidRDefault="00CC7D2C" w:rsidP="00320EFD">
            <w:pPr>
              <w:pStyle w:val="InstructionsText"/>
            </w:pPr>
            <w:r>
              <w:t>Sarakkeet</w:t>
            </w:r>
          </w:p>
        </w:tc>
      </w:tr>
      <w:tr w:rsidR="00CC7D2C" w:rsidRPr="002A677E" w14:paraId="5ABB1C97" w14:textId="77777777" w:rsidTr="00822842">
        <w:tc>
          <w:tcPr>
            <w:tcW w:w="894" w:type="dxa"/>
          </w:tcPr>
          <w:p w14:paraId="066B52F9"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5E5AC16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Ydinpääoman (CET1) oikaisut</w:t>
            </w:r>
          </w:p>
        </w:tc>
      </w:tr>
      <w:tr w:rsidR="00CC7D2C" w:rsidRPr="002A677E" w14:paraId="70486C66" w14:textId="77777777" w:rsidTr="00822842">
        <w:tc>
          <w:tcPr>
            <w:tcW w:w="894" w:type="dxa"/>
          </w:tcPr>
          <w:p w14:paraId="5744AAF7"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005FA4F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Ensisijaisen lisäpääoman (AT1) oikaisut</w:t>
            </w:r>
          </w:p>
        </w:tc>
      </w:tr>
      <w:tr w:rsidR="00CC7D2C" w:rsidRPr="002A677E" w14:paraId="3240AC81" w14:textId="77777777" w:rsidTr="00822842">
        <w:tc>
          <w:tcPr>
            <w:tcW w:w="894" w:type="dxa"/>
          </w:tcPr>
          <w:p w14:paraId="257368A3"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5782068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Toissijaisen pääoman (T2) oikaisut</w:t>
            </w:r>
          </w:p>
        </w:tc>
      </w:tr>
      <w:tr w:rsidR="00CC7D2C" w:rsidRPr="002A677E" w14:paraId="6B5722C9" w14:textId="77777777" w:rsidTr="00822842">
        <w:tc>
          <w:tcPr>
            <w:tcW w:w="894" w:type="dxa"/>
          </w:tcPr>
          <w:p w14:paraId="76268D54"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4008BFC2"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Riskipainotettuihin varoihin sisältyvät oikaisut</w:t>
            </w:r>
          </w:p>
          <w:p w14:paraId="2AB15337"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Sarakkeeseen 0040 sisällytetään asianmukaiset määrät, joilla oikaistaan asetuksen (EU) N:o 575/2013 92 artiklan 3 kohdassa tarkoitettua kokonaisriskin määrää siirtymäsäännösten </w:t>
            </w:r>
            <w:proofErr w:type="gramStart"/>
            <w:r>
              <w:rPr>
                <w:rStyle w:val="InstructionsTabelleText"/>
                <w:rFonts w:ascii="Times New Roman" w:hAnsi="Times New Roman"/>
                <w:sz w:val="24"/>
              </w:rPr>
              <w:t>johdosta</w:t>
            </w:r>
            <w:proofErr w:type="gramEnd"/>
            <w:r>
              <w:rPr>
                <w:rStyle w:val="InstructionsTabelleText"/>
                <w:rFonts w:ascii="Times New Roman" w:hAnsi="Times New Roman"/>
                <w:sz w:val="24"/>
              </w:rPr>
              <w:t>. Ilmoitettavissa määrissä on otettava huomioon asetuksen (EU) N:o 575/2013 kolmannen osan II osaston 2 tai 3 luvun tai kolmannen osan IV osaston säännösten soveltaminen asetuksen (EU) N:o 575/2013 92 artiklan 4 kohdan mukaisesti. Tämä tarkoittaa, että siirtymäkauden määrät, joihin sovelletaan kolmannen osan II osaston 2 tai 3 lukua, ilmoitetaan riskipainotettuina vastuuerinä, kun taas siirtymäkauden määrät, joihin sovelletaan kolmannen osan IV osastoa, vastaavat omien varojen vaatimuksia, jotka on kerrottu kertoimella 12,5.</w:t>
            </w:r>
          </w:p>
          <w:p w14:paraId="6FD2215F" w14:textId="77777777" w:rsidR="00CC7D2C" w:rsidRPr="002A677E" w:rsidRDefault="00CC7D2C" w:rsidP="00320EFD">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Vaikka sarakkeet 0010–0030 ovat suorassa yhteydessä CA1-lomakkeeseen, kokonaisriskin määrän oikaisuilla ei ole suoraa yhteyttä sovellettaviin luottoriskiä koskeviin lomakkeisiin. Jos siirtymäsäännöksistä aiheutuu oikaisuja kokonaisriskin määrään, oikaisut on sisällytettävä suoraan lomakkeisiin CR SA, CR IRB, CR EQU IRB, MKR SA TDI, MKR SA EQU tai MKR IM. Lisäksi nämä vaikutukset on ilmoitettava CA5.1-lomakkeen sarakkeessa 0040. Näin ollen nämä määrät ovat ainoastaan lisätietoeriä. </w:t>
            </w:r>
          </w:p>
        </w:tc>
      </w:tr>
      <w:tr w:rsidR="00CC7D2C" w:rsidRPr="002A677E" w14:paraId="36DEBFE4" w14:textId="77777777" w:rsidTr="00822842">
        <w:tc>
          <w:tcPr>
            <w:tcW w:w="894" w:type="dxa"/>
          </w:tcPr>
          <w:p w14:paraId="08DE5ACE"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554E45F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Sovellettava prosenttiosuus</w:t>
            </w:r>
          </w:p>
        </w:tc>
      </w:tr>
      <w:tr w:rsidR="00CC7D2C" w:rsidRPr="002A677E" w14:paraId="4825B315" w14:textId="77777777" w:rsidTr="00822842">
        <w:tc>
          <w:tcPr>
            <w:tcW w:w="894" w:type="dxa"/>
          </w:tcPr>
          <w:p w14:paraId="1A745949"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7C91F59F"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Hyväksyttävä määrä, kun siirtymäsäännöksiä ei sovelleta</w:t>
            </w:r>
          </w:p>
          <w:p w14:paraId="0688C622"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Tähän sarakkeeseen sisällytetään kunkin instrumentin määrä ennen siirtymäsäännösten soveltamista eli perusmäärä, jota sovelletaan oikaisujen laskentaan.</w:t>
            </w:r>
          </w:p>
        </w:tc>
      </w:tr>
    </w:tbl>
    <w:p w14:paraId="69541753" w14:textId="77777777" w:rsidR="00CC7D2C" w:rsidRPr="002A677E" w:rsidRDefault="00CC7D2C" w:rsidP="00CC7D2C">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6"/>
        <w:gridCol w:w="7421"/>
      </w:tblGrid>
      <w:tr w:rsidR="00CC7D2C" w:rsidRPr="002A677E" w14:paraId="28FF4A7E" w14:textId="77777777" w:rsidTr="00822842">
        <w:tc>
          <w:tcPr>
            <w:tcW w:w="8490" w:type="dxa"/>
            <w:gridSpan w:val="2"/>
            <w:shd w:val="clear" w:color="auto" w:fill="D9D9D9"/>
          </w:tcPr>
          <w:p w14:paraId="5A0FBE2A" w14:textId="77777777" w:rsidR="00CC7D2C" w:rsidRPr="002A677E" w:rsidRDefault="00CC7D2C" w:rsidP="00320EFD">
            <w:pPr>
              <w:pStyle w:val="InstructionsText"/>
            </w:pPr>
            <w:r>
              <w:t>Rivit</w:t>
            </w:r>
          </w:p>
        </w:tc>
      </w:tr>
      <w:tr w:rsidR="00CC7D2C" w:rsidRPr="002A677E" w14:paraId="63DE0CB7" w14:textId="77777777" w:rsidTr="00822842">
        <w:tc>
          <w:tcPr>
            <w:tcW w:w="1012" w:type="dxa"/>
          </w:tcPr>
          <w:p w14:paraId="64D99990"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0AE528B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rPr>
                <w:rStyle w:val="InstructionsTabelleberschrift"/>
                <w:rFonts w:ascii="Times New Roman" w:hAnsi="Times New Roman"/>
                <w:sz w:val="24"/>
              </w:rPr>
              <w:tab/>
              <w:t>Oikaisujen kokonaismäärä</w:t>
            </w:r>
          </w:p>
          <w:p w14:paraId="1456E00D" w14:textId="77777777" w:rsidR="00CC7D2C" w:rsidRPr="001235ED" w:rsidRDefault="00CC7D2C" w:rsidP="00822842">
            <w:pPr>
              <w:spacing w:before="0"/>
              <w:rPr>
                <w:rStyle w:val="FormatvorlageInstructionsTabelleText"/>
                <w:rFonts w:ascii="Times New Roman" w:hAnsi="Times New Roman"/>
                <w:bCs w:val="0"/>
                <w:sz w:val="24"/>
              </w:rPr>
            </w:pPr>
            <w:r>
              <w:rPr>
                <w:rStyle w:val="InstructionsTabelleText"/>
                <w:rFonts w:ascii="Times New Roman" w:hAnsi="Times New Roman"/>
                <w:sz w:val="24"/>
              </w:rPr>
              <w:t>Tämä rivi ilmentää siirtymäkauden oikaisujen kokonaisvaikutusta eri pääomatyypeissä sekä oikaisuista johtuvissa riskipainotetuissa omaisuuserissä.</w:t>
            </w:r>
          </w:p>
        </w:tc>
      </w:tr>
      <w:tr w:rsidR="00CC7D2C" w:rsidRPr="002A677E" w14:paraId="22DFE315" w14:textId="77777777" w:rsidTr="00822842">
        <w:tc>
          <w:tcPr>
            <w:tcW w:w="1012" w:type="dxa"/>
          </w:tcPr>
          <w:p w14:paraId="589AB8F2"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0020 </w:t>
            </w:r>
          </w:p>
        </w:tc>
        <w:tc>
          <w:tcPr>
            <w:tcW w:w="7478" w:type="dxa"/>
          </w:tcPr>
          <w:p w14:paraId="42B60E68"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rPr>
                <w:rStyle w:val="InstructionsTabelleberschrift"/>
                <w:rFonts w:ascii="Times New Roman" w:hAnsi="Times New Roman"/>
                <w:sz w:val="24"/>
              </w:rPr>
              <w:tab/>
              <w:t>Määräajaksi vapautetut instrumentit</w:t>
            </w:r>
          </w:p>
          <w:p w14:paraId="5D53743C" w14:textId="77777777" w:rsidR="00CC7D2C" w:rsidRPr="001235ED"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Asetuksen (EU) N:o 575/2013 483–491 artikla</w:t>
            </w:r>
          </w:p>
          <w:p w14:paraId="659F146F" w14:textId="77777777" w:rsidR="00CC7D2C" w:rsidRPr="002A677E" w:rsidRDefault="00CC7D2C" w:rsidP="00822842">
            <w:pPr>
              <w:spacing w:before="0"/>
              <w:rPr>
                <w:rStyle w:val="FormatvorlageInstructionsTabelleText"/>
                <w:rFonts w:ascii="Times New Roman" w:hAnsi="Times New Roman"/>
                <w:sz w:val="24"/>
              </w:rPr>
            </w:pPr>
            <w:r>
              <w:rPr>
                <w:rStyle w:val="InstructionsTabelleText"/>
                <w:rFonts w:ascii="Times New Roman" w:hAnsi="Times New Roman"/>
                <w:sz w:val="24"/>
              </w:rPr>
              <w:lastRenderedPageBreak/>
              <w:t>Tämä rivi ilmentää eri pääomatyypeissä siirtymäkauden aikana uusista säännöksistä vapautettujen instrumenttien kokonaisvaikutusta.</w:t>
            </w:r>
          </w:p>
        </w:tc>
      </w:tr>
      <w:tr w:rsidR="00CC7D2C" w:rsidRPr="002A677E" w14:paraId="3A5937F1" w14:textId="77777777" w:rsidTr="00822842">
        <w:tc>
          <w:tcPr>
            <w:tcW w:w="1012" w:type="dxa"/>
          </w:tcPr>
          <w:p w14:paraId="021760AB"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0060</w:t>
            </w:r>
          </w:p>
        </w:tc>
        <w:tc>
          <w:tcPr>
            <w:tcW w:w="7478" w:type="dxa"/>
          </w:tcPr>
          <w:p w14:paraId="55E430E6" w14:textId="77777777" w:rsidR="00CC7D2C" w:rsidRPr="001235ED" w:rsidRDefault="00CC7D2C" w:rsidP="00822842">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rPr>
                <w:rStyle w:val="InstructionsTabelleberschrift"/>
                <w:rFonts w:ascii="Times New Roman" w:hAnsi="Times New Roman"/>
                <w:sz w:val="24"/>
              </w:rPr>
              <w:tab/>
              <w:t>Valtiontukea sisältämättömät instrumentit</w:t>
            </w:r>
          </w:p>
          <w:p w14:paraId="2E34CAEA" w14:textId="77777777" w:rsidR="00CC7D2C" w:rsidRPr="002A677E" w:rsidRDefault="00CC7D2C" w:rsidP="00822842">
            <w:pPr>
              <w:spacing w:before="0"/>
              <w:rPr>
                <w:rFonts w:ascii="Times New Roman" w:hAnsi="Times New Roman"/>
                <w:b/>
                <w:bCs/>
                <w:sz w:val="24"/>
              </w:rPr>
            </w:pPr>
            <w:r>
              <w:rPr>
                <w:rStyle w:val="InstructionsTabelleText"/>
                <w:rFonts w:ascii="Times New Roman" w:hAnsi="Times New Roman"/>
                <w:sz w:val="24"/>
              </w:rPr>
              <w:t>Ilmoitettavat määrät saadaan CA5.2-lomakkeen sarakkeesta 060.</w:t>
            </w:r>
          </w:p>
        </w:tc>
      </w:tr>
      <w:tr w:rsidR="00CC7D2C" w:rsidRPr="002A677E" w14:paraId="577CA2FB" w14:textId="77777777" w:rsidTr="00822842">
        <w:tc>
          <w:tcPr>
            <w:tcW w:w="1012" w:type="dxa"/>
          </w:tcPr>
          <w:p w14:paraId="0BC3F697"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0061</w:t>
            </w:r>
          </w:p>
        </w:tc>
        <w:tc>
          <w:tcPr>
            <w:tcW w:w="7478" w:type="dxa"/>
          </w:tcPr>
          <w:p w14:paraId="77D7B0C1" w14:textId="77777777"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1.1.3</w:t>
            </w:r>
            <w:r>
              <w:rPr>
                <w:rStyle w:val="InstructionsTabelleberschrift"/>
                <w:rFonts w:ascii="Times New Roman" w:hAnsi="Times New Roman"/>
                <w:sz w:val="24"/>
              </w:rPr>
              <w:tab/>
              <w:t>Erillisyhteisöjen kautta liikkeeseen lasketut instrumentit</w:t>
            </w:r>
          </w:p>
          <w:p w14:paraId="28A4DB45" w14:textId="77777777" w:rsidR="00CC7D2C" w:rsidRPr="002A677E"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Asetuksen (EU) N:o 575/2013 494 a artikla</w:t>
            </w:r>
          </w:p>
        </w:tc>
      </w:tr>
      <w:tr w:rsidR="00CC7D2C" w:rsidRPr="002A677E" w14:paraId="112C8A49" w14:textId="77777777" w:rsidTr="00822842">
        <w:tc>
          <w:tcPr>
            <w:tcW w:w="1012" w:type="dxa"/>
          </w:tcPr>
          <w:p w14:paraId="63856ADF"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0062</w:t>
            </w:r>
          </w:p>
        </w:tc>
        <w:tc>
          <w:tcPr>
            <w:tcW w:w="7478" w:type="dxa"/>
          </w:tcPr>
          <w:p w14:paraId="1061D83D" w14:textId="77777777"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1.1.4</w:t>
            </w:r>
            <w:r>
              <w:rPr>
                <w:rStyle w:val="InstructionsTabelleberschrift"/>
                <w:rFonts w:ascii="Times New Roman" w:hAnsi="Times New Roman"/>
                <w:sz w:val="24"/>
              </w:rPr>
              <w:tab/>
              <w:t xml:space="preserve">Ennen 27 päivää kesäkuuta 2019 liikkeeseen lasketut instrumentit, jotka eivät täytä direktiivin 2014/59/EU 59 artiklan mukaisiin alaskirjaus- tai muuntamisvaltuuksiin liittyviä edellytyksiä tai joihin sovelletaan kuittaus- tai </w:t>
            </w:r>
            <w:proofErr w:type="spellStart"/>
            <w:r>
              <w:rPr>
                <w:rStyle w:val="InstructionsTabelleberschrift"/>
                <w:rFonts w:ascii="Times New Roman" w:hAnsi="Times New Roman"/>
                <w:sz w:val="24"/>
              </w:rPr>
              <w:t>nettoutusjärjestelyjä</w:t>
            </w:r>
            <w:proofErr w:type="spellEnd"/>
          </w:p>
          <w:p w14:paraId="14B14CDE" w14:textId="77777777" w:rsidR="00CC7D2C" w:rsidRPr="002A677E" w:rsidRDefault="00CC7D2C" w:rsidP="00822842">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Asetuksen (EU) N:o 575/2013 494 b artikla</w:t>
            </w:r>
          </w:p>
          <w:p w14:paraId="70DE96AB" w14:textId="77777777" w:rsidR="00CC7D2C" w:rsidRPr="002A677E" w:rsidRDefault="00CC7D2C" w:rsidP="00822842">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Laitosten on ilmoitettava asetuksen (EU) N:o 575/2013 494 b artiklan soveltamisalaan kuuluvien sellaisten instrumenttien määrä, jotka eivät täytä yhtä tai useampaa kyseisen asetuksen 52 artiklan 1 kohdan p, q ja r alakohdassa tarkoitettua edellytystä tai kyseisen asetuksen 63 artiklan n, o ja p alakohdassa tarkoitettua edellytystä.</w:t>
            </w:r>
          </w:p>
          <w:p w14:paraId="26471CE7" w14:textId="77777777" w:rsidR="00CC7D2C" w:rsidRPr="002A677E"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Asetuksen (EU) N:o 575/2013 494 b artiklan 2 kohdan mukaisesti hyväksyttävien toissijaisen pääoman (T2) instrumenttien tapauksessa noudatetaan kyseisen asetuksen 64 artiklan lyhennystä koskevia säännöksiä.</w:t>
            </w:r>
          </w:p>
        </w:tc>
      </w:tr>
      <w:tr w:rsidR="00CC7D2C" w:rsidRPr="002A677E" w14:paraId="55C3C1E1" w14:textId="77777777" w:rsidTr="00822842">
        <w:tc>
          <w:tcPr>
            <w:tcW w:w="1012" w:type="dxa"/>
          </w:tcPr>
          <w:p w14:paraId="74C1C71E"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0063</w:t>
            </w:r>
          </w:p>
        </w:tc>
        <w:tc>
          <w:tcPr>
            <w:tcW w:w="7478" w:type="dxa"/>
          </w:tcPr>
          <w:p w14:paraId="4900B75E" w14:textId="77777777"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1.1.4.1*</w:t>
            </w:r>
            <w:r>
              <w:rPr>
                <w:rStyle w:val="InstructionsTabelleberschrift"/>
                <w:rFonts w:ascii="Times New Roman" w:hAnsi="Times New Roman"/>
                <w:sz w:val="24"/>
              </w:rPr>
              <w:tab/>
              <w:t>Joista: instrumentit, joihin ei liity lain tai sopimuksen perusteella pakollista alaskirjausta tai muuntamista käytettäessä direktiivin 2014/59/EU 59 artiklan mukaisia valtuuksia</w:t>
            </w:r>
          </w:p>
          <w:p w14:paraId="3B877986" w14:textId="77777777" w:rsidR="00CC7D2C" w:rsidRPr="002A677E" w:rsidRDefault="00CC7D2C" w:rsidP="00822842">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Asetuksen (EU) N:o 575/2013 494 b artikla, 52 artiklan 1 kohdan p alakohta ja 63 artiklan n alakohta</w:t>
            </w:r>
          </w:p>
          <w:p w14:paraId="574DE47E" w14:textId="77777777" w:rsidR="00CC7D2C" w:rsidRPr="002A677E" w:rsidRDefault="00CC7D2C" w:rsidP="00822842">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Laitosten on ilmoitettava asetuksen (EU) N:o 575/2013 494 b artiklan soveltamisalaan kuuluvien sellaisten instrumenttien määrä, jotka eivät täytä tapauksen mukaan kyseisen asetuksen 52 artiklan 1 kohdan p alakohdassa tarkoitettuja edellytyksiä tai kyseisen asetuksen 63 artiklan n alakohdassa tarkoitettuja edellytyksiä.</w:t>
            </w:r>
          </w:p>
          <w:p w14:paraId="6243954E" w14:textId="77777777" w:rsidR="00CC7D2C" w:rsidRPr="002A677E"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Tähän sisältyvät myös instrumentit, jotka eivät lisäksi täytä tapauksen mukaan asetuksen (EU) N:o 575/2013 52 artiklan 1 kohdan q tai r alakohdassa taikka kyseisen asetuksen 63 artiklan o tai p alakohdassa tarkoitettuja edellytyksiä.</w:t>
            </w:r>
          </w:p>
        </w:tc>
      </w:tr>
      <w:tr w:rsidR="00CC7D2C" w:rsidRPr="002A677E" w14:paraId="7EF97E41" w14:textId="77777777" w:rsidTr="00822842">
        <w:tc>
          <w:tcPr>
            <w:tcW w:w="1012" w:type="dxa"/>
          </w:tcPr>
          <w:p w14:paraId="51F1A7D5"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0064</w:t>
            </w:r>
          </w:p>
        </w:tc>
        <w:tc>
          <w:tcPr>
            <w:tcW w:w="7478" w:type="dxa"/>
          </w:tcPr>
          <w:p w14:paraId="3EC08114" w14:textId="77777777"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1.1.4.2*</w:t>
            </w:r>
            <w:r>
              <w:rPr>
                <w:rStyle w:val="InstructionsTabelleberschrift"/>
                <w:rFonts w:ascii="Times New Roman" w:hAnsi="Times New Roman"/>
                <w:sz w:val="24"/>
              </w:rPr>
              <w:tab/>
              <w:t>Joista: instrumentit, joihin sovelletaan kolmannen maan lakia, jossa ei määrätä direktiivin 2014/59/EU 59 artiklan mukaisten valtuuksien pätevästä ja täytäntöönpanokelpoisesta käytöstä</w:t>
            </w:r>
          </w:p>
          <w:p w14:paraId="7A24A8EA" w14:textId="77777777" w:rsidR="00CC7D2C" w:rsidRPr="002A677E" w:rsidRDefault="00CC7D2C" w:rsidP="00822842">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Asetuksen (EU) N:o 575/2013 494 b artikla, 52 artiklan 1 kohdan q alakohta ja 63 artiklan o alakohta</w:t>
            </w:r>
          </w:p>
          <w:p w14:paraId="6B71123D" w14:textId="77777777" w:rsidR="00CC7D2C" w:rsidRPr="002A677E" w:rsidRDefault="00CC7D2C" w:rsidP="00822842">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Laitosten on ilmoitettava asetuksen (EU) N:o 575/2013 494 b artiklan soveltamisalaan kuuluvien sellaisten instrumenttien määrä, jotka eivät täytä tapauksen mukaan kyseisen asetuksen 52 artiklan 1 kohdan q alakohdassa tai kyseisen asetuksen 63 artiklan o alakohdassa tarkoitettuja edellytyksiä.</w:t>
            </w:r>
          </w:p>
          <w:p w14:paraId="6BD5AA77" w14:textId="77777777" w:rsidR="00CC7D2C" w:rsidRPr="002A677E"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Tähän sisältyvät myös instrumentit, jotka eivät lisäksi täytä tapauksen mukaan asetuksen (EU) N:o 575/2013 52 artiklan 1 kohdan p tai r alakohdassa taikka kyseisen asetuksen 63 artiklan n tai p alakohdassa tarkoitettuja edellytyksiä.</w:t>
            </w:r>
          </w:p>
        </w:tc>
      </w:tr>
      <w:tr w:rsidR="00CC7D2C" w:rsidRPr="002A677E" w14:paraId="41B5C856" w14:textId="77777777" w:rsidTr="00822842">
        <w:tc>
          <w:tcPr>
            <w:tcW w:w="1012" w:type="dxa"/>
          </w:tcPr>
          <w:p w14:paraId="446D7A86"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0065</w:t>
            </w:r>
          </w:p>
        </w:tc>
        <w:tc>
          <w:tcPr>
            <w:tcW w:w="7478" w:type="dxa"/>
          </w:tcPr>
          <w:p w14:paraId="37024AB6" w14:textId="77777777"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1.1.4.3*</w:t>
            </w:r>
            <w:r>
              <w:rPr>
                <w:rStyle w:val="InstructionsTabelleberschrift"/>
                <w:rFonts w:ascii="Times New Roman" w:hAnsi="Times New Roman"/>
                <w:sz w:val="24"/>
              </w:rPr>
              <w:tab/>
              <w:t xml:space="preserve">Joista: instrumentit, joihin sovelletaan kuittaus- tai </w:t>
            </w:r>
            <w:proofErr w:type="spellStart"/>
            <w:r>
              <w:rPr>
                <w:rStyle w:val="InstructionsTabelleberschrift"/>
                <w:rFonts w:ascii="Times New Roman" w:hAnsi="Times New Roman"/>
                <w:sz w:val="24"/>
              </w:rPr>
              <w:t>nettoutusjärjestelyjä</w:t>
            </w:r>
            <w:proofErr w:type="spellEnd"/>
          </w:p>
          <w:p w14:paraId="6DF8EE66" w14:textId="77777777" w:rsidR="00CC7D2C" w:rsidRPr="002A677E" w:rsidRDefault="00CC7D2C" w:rsidP="00822842">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Asetuksen (EU) N:o 575/2013 494 b artikla, 52 artiklan 1 kohdan r alakohta ja 63 artiklan p alakohta</w:t>
            </w:r>
          </w:p>
          <w:p w14:paraId="01DEA76F" w14:textId="77777777" w:rsidR="00CC7D2C" w:rsidRPr="002A677E" w:rsidRDefault="00CC7D2C" w:rsidP="00822842">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Laitosten on ilmoitettava asetuksen (EU) N:o 575/2013 494 b artiklan soveltamisalaan kuuluvien sellaisten instrumenttien määrä, jotka eivät täytä tapauksen mukaan kyseisen asetuksen 52 artiklan 1 kohdan r alakohdassa tai kyseisen asetuksen 63 artiklan p alakohdassa tarkoitettuja edellytyksiä.</w:t>
            </w:r>
          </w:p>
          <w:p w14:paraId="55CA01D9" w14:textId="77777777" w:rsidR="00CC7D2C" w:rsidRPr="002A677E"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Tähän sisältyvät myös instrumentit, jotka eivät lisäksi täytä tapauksen mukaan asetuksen (EU) N:o 575/2013 52 artiklan 1 kohdan p tai q alakohdassa taikka kyseisen asetuksen 63 artiklan n tai o alakohdassa tarkoitettuja edellytyksiä.</w:t>
            </w:r>
          </w:p>
        </w:tc>
      </w:tr>
      <w:tr w:rsidR="00CC7D2C" w:rsidRPr="002A677E" w14:paraId="0FFFDE9A" w14:textId="77777777" w:rsidTr="00822842">
        <w:tc>
          <w:tcPr>
            <w:tcW w:w="1012" w:type="dxa"/>
          </w:tcPr>
          <w:p w14:paraId="75D3684D"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14:paraId="4A5542BD" w14:textId="77777777" w:rsidR="00CC7D2C" w:rsidRPr="002A677E" w:rsidRDefault="00CC7D2C" w:rsidP="00320EFD">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rPr>
                <w:rStyle w:val="InstructionsTabelleberschrift"/>
                <w:rFonts w:ascii="Times New Roman" w:hAnsi="Times New Roman"/>
                <w:sz w:val="24"/>
              </w:rPr>
              <w:tab/>
              <w:t>Vähemmistöosuudet ja vastaavat osuudet</w:t>
            </w:r>
          </w:p>
          <w:p w14:paraId="43EE34BC" w14:textId="77777777" w:rsidR="00CC7D2C" w:rsidRPr="001235ED"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Asetuksen (EU) N:o 575/2013 479 ja 480 artikla</w:t>
            </w:r>
          </w:p>
          <w:p w14:paraId="2469F59A" w14:textId="77777777" w:rsidR="00CC7D2C" w:rsidRPr="002A677E"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Tämä rivi ilmentää siirtymäsäännösten vaikutuksia ydinpääomaksi (CET1) hyväksyttävissä vähemmistöosuuksissa, konsolidoiduksi ensisijaiseksi lisäpääomaksi (AT1) hyväksyttävissä ehdot täyttävissä ensisijaisen pääoman (T1) instrumenteissa ja konsolidoiduksi toissijaiseksi pääomaksi (T2) hyväksyttävissä ehdot täyttävissä omissa varoissa.</w:t>
            </w:r>
          </w:p>
        </w:tc>
      </w:tr>
      <w:tr w:rsidR="00CC7D2C" w:rsidRPr="002A677E" w14:paraId="5FFD2D4B" w14:textId="77777777" w:rsidTr="00822842">
        <w:tc>
          <w:tcPr>
            <w:tcW w:w="1012" w:type="dxa"/>
          </w:tcPr>
          <w:p w14:paraId="660B82A0"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629F154E"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rPr>
                <w:rStyle w:val="InstructionsTabelleberschrift"/>
                <w:rFonts w:ascii="Times New Roman" w:hAnsi="Times New Roman"/>
                <w:sz w:val="24"/>
              </w:rPr>
              <w:tab/>
              <w:t>Pääomainstrumentit ja -erät, joita ei hyväksytä vähemmistöosuuksiksi</w:t>
            </w:r>
          </w:p>
          <w:p w14:paraId="0C0141BB" w14:textId="77777777" w:rsidR="00CC7D2C" w:rsidRPr="002A677E" w:rsidRDefault="00CC7D2C" w:rsidP="00320EFD">
            <w:pPr>
              <w:pStyle w:val="InstructionsText"/>
              <w:rPr>
                <w:rStyle w:val="InstructionsTabelleText"/>
                <w:rFonts w:ascii="Times New Roman" w:hAnsi="Times New Roman"/>
                <w:bCs/>
                <w:sz w:val="24"/>
              </w:rPr>
            </w:pPr>
            <w:r>
              <w:rPr>
                <w:rStyle w:val="InstructionsTabelleText"/>
                <w:rFonts w:ascii="Times New Roman" w:hAnsi="Times New Roman"/>
                <w:sz w:val="24"/>
              </w:rPr>
              <w:t>Asetuksen (EU) N:o 575/2013 479 artikla</w:t>
            </w:r>
          </w:p>
          <w:p w14:paraId="27436818" w14:textId="77777777" w:rsidR="00CC7D2C" w:rsidRPr="002A677E" w:rsidRDefault="00CC7D2C" w:rsidP="00320EFD">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Tämän rivin sarakkeessa 060 ilmoitettava määrä on määrä, joka katsotaan aiemman lainsäädännön mukaisesti konsernin omaksi pääomaksi. </w:t>
            </w:r>
          </w:p>
        </w:tc>
      </w:tr>
      <w:tr w:rsidR="00CC7D2C" w:rsidRPr="002A677E" w14:paraId="3F49ECF4" w14:textId="77777777" w:rsidTr="00822842">
        <w:tc>
          <w:tcPr>
            <w:tcW w:w="1012" w:type="dxa"/>
          </w:tcPr>
          <w:p w14:paraId="0EBF8884"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14:paraId="64E4E380"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rPr>
                <w:rStyle w:val="InstructionsTabelleberschrift"/>
                <w:rFonts w:ascii="Times New Roman" w:hAnsi="Times New Roman"/>
                <w:sz w:val="24"/>
              </w:rPr>
              <w:tab/>
              <w:t>Vähemmistöosuuksien sisällyttäminen konsolidoituihin omiin varoihin (siirtymäkausi)</w:t>
            </w:r>
          </w:p>
          <w:p w14:paraId="3BF8A481"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Asetuksen (EU) N:o 575/2013 84 ja 480 artikla</w:t>
            </w:r>
          </w:p>
          <w:p w14:paraId="4CCBBE22" w14:textId="77777777" w:rsidR="00CC7D2C" w:rsidRPr="002A677E" w:rsidRDefault="00CC7D2C" w:rsidP="00320EFD">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Tämän rivin sarakkeessa 0060 ilmoitettava määrä on ilman siirtymäsäännöksiä hyväksyttävä määrä.</w:t>
            </w:r>
          </w:p>
        </w:tc>
      </w:tr>
      <w:tr w:rsidR="00CC7D2C" w:rsidRPr="002A677E" w14:paraId="7D7D8266" w14:textId="77777777" w:rsidTr="00822842">
        <w:tc>
          <w:tcPr>
            <w:tcW w:w="1012" w:type="dxa"/>
          </w:tcPr>
          <w:p w14:paraId="121414E0"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0091</w:t>
            </w:r>
          </w:p>
        </w:tc>
        <w:tc>
          <w:tcPr>
            <w:tcW w:w="7478" w:type="dxa"/>
          </w:tcPr>
          <w:p w14:paraId="27718CC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rPr>
                <w:rStyle w:val="InstructionsTabelleberschrift"/>
                <w:rFonts w:ascii="Times New Roman" w:hAnsi="Times New Roman"/>
                <w:sz w:val="24"/>
              </w:rPr>
              <w:tab/>
              <w:t>Ehdot täyttävän ensisijaisen lisäpääoman (AT1) sisällyttäminen konsolidoituihin omiin varoihin (siirtymäkausi)</w:t>
            </w:r>
          </w:p>
          <w:p w14:paraId="4A315E24"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Asetuksen (EU) N:o 575/2013 85 ja 480 artikla</w:t>
            </w:r>
          </w:p>
          <w:p w14:paraId="62F5745A"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Tämän rivin sarakkeessa 0060 ilmoitettava määrä on ilman siirtymäsäännöksiä hyväksyttävä määrä.</w:t>
            </w:r>
          </w:p>
        </w:tc>
      </w:tr>
      <w:tr w:rsidR="00CC7D2C" w:rsidRPr="002A677E" w14:paraId="77DEC336" w14:textId="77777777" w:rsidTr="00822842">
        <w:tc>
          <w:tcPr>
            <w:tcW w:w="1012" w:type="dxa"/>
          </w:tcPr>
          <w:p w14:paraId="53007DDC"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0092</w:t>
            </w:r>
          </w:p>
        </w:tc>
        <w:tc>
          <w:tcPr>
            <w:tcW w:w="7478" w:type="dxa"/>
          </w:tcPr>
          <w:p w14:paraId="54E9560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rPr>
                <w:rStyle w:val="InstructionsTabelleberschrift"/>
                <w:rFonts w:ascii="Times New Roman" w:hAnsi="Times New Roman"/>
                <w:sz w:val="24"/>
              </w:rPr>
              <w:tab/>
              <w:t>Ehdot täyttävän toissijaisen pääoman (T2) sisällyttäminen konsolidoituihin omiin varoihin (siirtymäkausi)</w:t>
            </w:r>
          </w:p>
          <w:p w14:paraId="16966D71"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Asetuksen (EU) N:o 575/2013 87 ja 480 artikla</w:t>
            </w:r>
          </w:p>
          <w:p w14:paraId="23F1372F"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Tämän rivin sarakkeessa 0060 ilmoitettava määrä on ilman siirtymäsäännöksiä hyväksyttävä määrä.</w:t>
            </w:r>
          </w:p>
        </w:tc>
      </w:tr>
      <w:tr w:rsidR="00CC7D2C" w:rsidRPr="002A677E" w14:paraId="507B4FAC" w14:textId="77777777" w:rsidTr="00822842">
        <w:tc>
          <w:tcPr>
            <w:tcW w:w="1012" w:type="dxa"/>
          </w:tcPr>
          <w:p w14:paraId="37F3F736"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0100</w:t>
            </w:r>
          </w:p>
        </w:tc>
        <w:tc>
          <w:tcPr>
            <w:tcW w:w="7478" w:type="dxa"/>
          </w:tcPr>
          <w:p w14:paraId="255FB18E"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rPr>
                <w:rStyle w:val="InstructionsTabelleberschrift"/>
                <w:rFonts w:ascii="Times New Roman" w:hAnsi="Times New Roman"/>
                <w:sz w:val="24"/>
              </w:rPr>
              <w:tab/>
              <w:t>Muut siirtymäkauden oikaisut</w:t>
            </w:r>
          </w:p>
          <w:p w14:paraId="632B4D61" w14:textId="77777777" w:rsidR="00CC7D2C" w:rsidRPr="001235ED"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Asetuksen (EU) N:o 575/2013 468–478 artikla ja 481 artikla</w:t>
            </w:r>
          </w:p>
          <w:p w14:paraId="0F44764E" w14:textId="77777777" w:rsidR="00CC7D2C" w:rsidRPr="002A677E"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Tämä rivi ilmentää siirtymäkauden oikaisujen kokonaisvaikutusta eri pääomatyyppeihin tehtävissä vähennyksissä, toteutumattomissa voitoissa ja tappioissa, ylimääräisissä suodattimissa ja vähennyksissä sekä näistä oikaisuista johtuvissa riskipainotetuissa omaisuuserissä.</w:t>
            </w:r>
          </w:p>
        </w:tc>
      </w:tr>
      <w:tr w:rsidR="00CC7D2C" w:rsidRPr="002A677E" w14:paraId="58AB5CC6" w14:textId="77777777" w:rsidTr="00822842">
        <w:tc>
          <w:tcPr>
            <w:tcW w:w="1012" w:type="dxa"/>
          </w:tcPr>
          <w:p w14:paraId="25AC6250" w14:textId="77777777" w:rsidR="00CC7D2C" w:rsidRPr="001235ED"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0111</w:t>
            </w:r>
          </w:p>
        </w:tc>
        <w:tc>
          <w:tcPr>
            <w:tcW w:w="7478" w:type="dxa"/>
          </w:tcPr>
          <w:p w14:paraId="61444EF5"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1.3.1.6 Realisoitumattomat voitot ja tappiot tietyistä valtioilta, aluehallinnoilta tai paikallisviranomaisilta sekä julkisoikeudellisilta laitoksilta olevista velkasaamisista</w:t>
            </w:r>
          </w:p>
          <w:p w14:paraId="1495FA2D"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Text"/>
                <w:rFonts w:ascii="Times New Roman" w:hAnsi="Times New Roman"/>
                <w:sz w:val="24"/>
              </w:rPr>
              <w:t>Asetuksen (EU) N:o 575/2013 468 artikla</w:t>
            </w:r>
          </w:p>
        </w:tc>
      </w:tr>
      <w:tr w:rsidR="00CC7D2C" w:rsidRPr="002A677E" w14:paraId="3788B8D6" w14:textId="77777777" w:rsidTr="00822842">
        <w:tc>
          <w:tcPr>
            <w:tcW w:w="1012" w:type="dxa"/>
          </w:tcPr>
          <w:p w14:paraId="4112FC42" w14:textId="77777777" w:rsidR="00CC7D2C" w:rsidRPr="001235ED"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0112</w:t>
            </w:r>
          </w:p>
        </w:tc>
        <w:tc>
          <w:tcPr>
            <w:tcW w:w="7478" w:type="dxa"/>
          </w:tcPr>
          <w:p w14:paraId="1064522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1.3.1.6.1 Joista: määrä A</w:t>
            </w:r>
          </w:p>
          <w:p w14:paraId="73AFBA3D" w14:textId="77777777" w:rsidR="00CC7D2C" w:rsidRPr="002A677E" w:rsidRDefault="00CC7D2C" w:rsidP="00320EFD">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Asetuksen (EU) N:o 575/2013 468 artiklan 1 kohdassa tarkoitetun kaavan mukaisesti laskettu määrä A</w:t>
            </w:r>
          </w:p>
        </w:tc>
      </w:tr>
      <w:tr w:rsidR="00CC7D2C" w:rsidRPr="002A677E" w14:paraId="124094E3" w14:textId="77777777" w:rsidTr="00822842">
        <w:tc>
          <w:tcPr>
            <w:tcW w:w="1012" w:type="dxa"/>
          </w:tcPr>
          <w:p w14:paraId="1327BB31"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76450B48"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rPr>
                <w:rStyle w:val="InstructionsTabelleberschrift"/>
                <w:rFonts w:ascii="Times New Roman" w:hAnsi="Times New Roman"/>
                <w:sz w:val="24"/>
              </w:rPr>
              <w:tab/>
              <w:t>Vähennykset</w:t>
            </w:r>
          </w:p>
          <w:p w14:paraId="51CECA1B" w14:textId="77777777" w:rsidR="00CC7D2C" w:rsidRPr="001235ED"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Asetuksen (EU) N:o 575/2013 36 artiklan 1 kohta ja 469–478 artikla</w:t>
            </w:r>
          </w:p>
          <w:p w14:paraId="052C5EE1" w14:textId="77777777" w:rsidR="00CC7D2C" w:rsidRPr="002A677E"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Tämä rivi ilmentää siirtymäsäännösten kokonaisvaikutusta vähennyksiin.</w:t>
            </w:r>
          </w:p>
        </w:tc>
      </w:tr>
      <w:tr w:rsidR="00CC7D2C" w:rsidRPr="002A677E" w14:paraId="3EA9AE2F" w14:textId="77777777" w:rsidTr="00822842">
        <w:tc>
          <w:tcPr>
            <w:tcW w:w="1012" w:type="dxa"/>
          </w:tcPr>
          <w:p w14:paraId="529C9651"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0170</w:t>
            </w:r>
          </w:p>
        </w:tc>
        <w:tc>
          <w:tcPr>
            <w:tcW w:w="7478" w:type="dxa"/>
          </w:tcPr>
          <w:p w14:paraId="5C3F70B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rPr>
                <w:rStyle w:val="InstructionsTabelleberschrift"/>
                <w:rFonts w:ascii="Times New Roman" w:hAnsi="Times New Roman"/>
                <w:sz w:val="24"/>
              </w:rPr>
              <w:tab/>
              <w:t>Tulevista veronalaisista voitoista riippuvat laskennalliset verosaamiset, jotka eivät synny väliaikaisten erojen seurauksena</w:t>
            </w:r>
          </w:p>
          <w:p w14:paraId="08D3639D"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Asetuksen (EU) N:o 575/2013 36 artiklan 1 kohdan c alakohta, 469 artiklan 1 kohta, 472 artiklan 5 kohta ja 478 artikla</w:t>
            </w:r>
          </w:p>
          <w:p w14:paraId="30A136AF"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Määrittäessään edellä mainittujen laskennallisten verosaamisten vähennettävää määrää laitosten on otettava huomioon asetuksen (EU) N:o 575/2013 38 artiklan säännökset, jotka liittyvät laskennallisten verosaamisten pienentämiseen laskennallisilla veroveloilla.</w:t>
            </w:r>
          </w:p>
          <w:p w14:paraId="33BB9757"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Tämän rivin sarakkeessa 0060 ilmoitettava määrä: kokonaismäärä asetuksen (EU) N:o 575/2013 469 artiklan 1 kohdan mukaisesti.</w:t>
            </w:r>
          </w:p>
        </w:tc>
      </w:tr>
      <w:tr w:rsidR="00CC7D2C" w:rsidRPr="002A677E" w14:paraId="0D2A45D9" w14:textId="77777777" w:rsidTr="00822842">
        <w:tc>
          <w:tcPr>
            <w:tcW w:w="1012" w:type="dxa"/>
          </w:tcPr>
          <w:p w14:paraId="0E8C2927" w14:textId="77777777" w:rsidR="00CC7D2C" w:rsidRPr="002A677E" w:rsidDel="00E41E4F"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0380</w:t>
            </w:r>
          </w:p>
        </w:tc>
        <w:tc>
          <w:tcPr>
            <w:tcW w:w="7478" w:type="dxa"/>
          </w:tcPr>
          <w:p w14:paraId="32137C1C"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rPr>
                <w:rStyle w:val="InstructionsTabelleberschrift"/>
                <w:rFonts w:ascii="Times New Roman" w:hAnsi="Times New Roman"/>
                <w:sz w:val="24"/>
              </w:rPr>
              <w:tab/>
              <w:t>Tulevista veronalaisista voitoista riippuvat ja väliaikaisten erojen seurauksena syntyvät laskennalliset verosaamiset ja finanssialan yhteisöjen ydinpääoman (CET1) instrumentit, kun laitoksella on merkittävä sijoitus näissä yhteisöissä</w:t>
            </w:r>
          </w:p>
          <w:p w14:paraId="308D07D4"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Asetuksen (EU) N:o 575/2013 470 artiklan 2 ja 3 kohta</w:t>
            </w:r>
          </w:p>
          <w:p w14:paraId="2D7218B3"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Tämän rivin sarakkeessa 0060 ilmoitettava määrä: Asetuksen (EU) N:o 575/2013 470 artiklan 1 kohta</w:t>
            </w:r>
          </w:p>
        </w:tc>
      </w:tr>
      <w:tr w:rsidR="00CC7D2C" w:rsidRPr="002A677E" w14:paraId="07322B57" w14:textId="77777777" w:rsidTr="00822842">
        <w:tc>
          <w:tcPr>
            <w:tcW w:w="1012" w:type="dxa"/>
          </w:tcPr>
          <w:p w14:paraId="29C65FDD"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0385</w:t>
            </w:r>
          </w:p>
        </w:tc>
        <w:tc>
          <w:tcPr>
            <w:tcW w:w="7478" w:type="dxa"/>
          </w:tcPr>
          <w:p w14:paraId="3A586672"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Tulevista veronalaisista voitoista riippuvat ja väliaikaisten erojen seurauksena syntyvät laskennalliset verosaamiset</w:t>
            </w:r>
          </w:p>
          <w:p w14:paraId="6C5EEFFD" w14:textId="77777777" w:rsidR="00CC7D2C" w:rsidRPr="002A677E" w:rsidRDefault="00CC7D2C" w:rsidP="00320EFD">
            <w:pPr>
              <w:pStyle w:val="InstructionsText"/>
              <w:rPr>
                <w:rStyle w:val="InstructionsTabelleText"/>
                <w:rFonts w:ascii="Times New Roman" w:hAnsi="Times New Roman"/>
                <w:bCs/>
                <w:sz w:val="24"/>
              </w:rPr>
            </w:pPr>
            <w:r>
              <w:rPr>
                <w:rStyle w:val="InstructionsTabelleText"/>
                <w:rFonts w:ascii="Times New Roman" w:hAnsi="Times New Roman"/>
                <w:sz w:val="24"/>
              </w:rPr>
              <w:t>Asetuksen (EU) N:o 575/2013 469 artiklan 1 kohdan c alakohta, 472 artiklan 5 kohta ja 478 artikla</w:t>
            </w:r>
          </w:p>
          <w:p w14:paraId="1129AF2E"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Text"/>
                <w:rFonts w:ascii="Times New Roman" w:hAnsi="Times New Roman"/>
                <w:sz w:val="24"/>
              </w:rPr>
              <w:lastRenderedPageBreak/>
              <w:t>Tulevista veronalaisista voitoista riippuvien ja väliaikaisten erojen seurauksena syntyvien laskennallisten verosaamisten osa, joka ylittää asetuksen (EU) N:o 575/2013 470 artiklan 2 kohdan a alakohdassa säädetyn 10 prosentin kynnysarvon.</w:t>
            </w:r>
          </w:p>
        </w:tc>
      </w:tr>
      <w:tr w:rsidR="00CC7D2C" w:rsidRPr="002A677E" w14:paraId="3AEB8FA0" w14:textId="77777777" w:rsidTr="00822842">
        <w:tc>
          <w:tcPr>
            <w:tcW w:w="1012" w:type="dxa"/>
          </w:tcPr>
          <w:p w14:paraId="2AB561DA"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0425</w:t>
            </w:r>
          </w:p>
        </w:tc>
        <w:tc>
          <w:tcPr>
            <w:tcW w:w="7478" w:type="dxa"/>
          </w:tcPr>
          <w:p w14:paraId="0B77B95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rPr>
                <w:rStyle w:val="InstructionsTabelleberschrift"/>
                <w:rFonts w:ascii="Times New Roman" w:hAnsi="Times New Roman"/>
                <w:sz w:val="24"/>
              </w:rPr>
              <w:tab/>
              <w:t>Poikkeukset ydinpääoman (CET1) eristä tehtävistä vakuutusyrityksissä olevien omistusosuuksien vähennyksistä</w:t>
            </w:r>
          </w:p>
          <w:p w14:paraId="0B0E33F2"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Asetuksen (EU) N:o 575/2013 471 artikla</w:t>
            </w:r>
          </w:p>
        </w:tc>
      </w:tr>
      <w:tr w:rsidR="00CC7D2C" w:rsidRPr="002A677E" w14:paraId="356893BD" w14:textId="77777777" w:rsidTr="00822842">
        <w:tc>
          <w:tcPr>
            <w:tcW w:w="1012" w:type="dxa"/>
          </w:tcPr>
          <w:p w14:paraId="79F1B640"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0430</w:t>
            </w:r>
          </w:p>
        </w:tc>
        <w:tc>
          <w:tcPr>
            <w:tcW w:w="7478" w:type="dxa"/>
          </w:tcPr>
          <w:p w14:paraId="48E9C03E"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rPr>
                <w:rStyle w:val="InstructionsTabelleberschrift"/>
                <w:rFonts w:ascii="Times New Roman" w:hAnsi="Times New Roman"/>
                <w:sz w:val="24"/>
              </w:rPr>
              <w:tab/>
              <w:t>Ylimääräiset suodattimet ja vähennykset</w:t>
            </w:r>
          </w:p>
          <w:p w14:paraId="4A80E244" w14:textId="77777777" w:rsidR="00CC7D2C" w:rsidRPr="001235ED"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Asetuksen (EU) N:o 575/2013 481 artikla</w:t>
            </w:r>
          </w:p>
          <w:p w14:paraId="4D751914"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Tämä rivi ilmentää siirtymäsäännösten kokonaisvaikutusta ylimääräisiin suodattimiin ja vähennyksiin.</w:t>
            </w:r>
          </w:p>
          <w:p w14:paraId="204FEDF5"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Asetuksen (EU) N:o 575/2013 481 artiklan mukaisesti laitosten on ilmoitettava kohdassa 1.3.3 tiedot, jotka liittyvät direktiivin 2006/48/EY 57 ja 66 artiklan ja direktiivin 2006/49/EY 13 ja 16 artiklan kansallisissa täytäntöönpanosäännöksissä vaadittuihin suodattimiin ja vähennyksiin, joita ei vaadita tämän asetuksen toisessa osassa. </w:t>
            </w:r>
          </w:p>
        </w:tc>
      </w:tr>
    </w:tbl>
    <w:p w14:paraId="0A071A2D" w14:textId="77777777" w:rsidR="00CC7D2C" w:rsidRPr="002A677E" w:rsidRDefault="00CC7D2C" w:rsidP="00CC7D2C">
      <w:pPr>
        <w:spacing w:after="0"/>
        <w:rPr>
          <w:rFonts w:ascii="Times New Roman" w:hAnsi="Times New Roman"/>
          <w:sz w:val="24"/>
        </w:rPr>
      </w:pPr>
    </w:p>
    <w:p w14:paraId="4D83F2F5" w14:textId="77777777" w:rsidR="00CC7D2C" w:rsidRPr="002A677E" w:rsidRDefault="00CC7D2C" w:rsidP="00886567">
      <w:pPr>
        <w:pStyle w:val="Instructionsberschrift2"/>
        <w:numPr>
          <w:ilvl w:val="0"/>
          <w:numId w:val="0"/>
        </w:numPr>
        <w:ind w:left="357" w:hanging="357"/>
        <w:rPr>
          <w:u w:val="none"/>
        </w:rPr>
      </w:pPr>
      <w:bookmarkStart w:id="62" w:name="_Toc361666252"/>
      <w:bookmarkStart w:id="63" w:name="_Toc308175839"/>
      <w:bookmarkStart w:id="64" w:name="_Toc473560885"/>
      <w:bookmarkStart w:id="65" w:name="_Toc151714373"/>
      <w:bookmarkStart w:id="66" w:name="_Toc360188337"/>
      <w:bookmarkEnd w:id="62"/>
      <w:r>
        <w:rPr>
          <w:u w:val="none"/>
        </w:rPr>
        <w:t>1.6.3</w:t>
      </w:r>
      <w:r>
        <w:rPr>
          <w:u w:val="none"/>
        </w:rPr>
        <w:tab/>
      </w:r>
      <w:r>
        <w:t>C 05.02 – MÄÄRÄAJAKSI VAPAUTETUT INSTRUMENTIT: VALTIONTUKEA SISÄLTÄMÄTTÖMÄT INSTRUMENTIT (CA5.2)</w:t>
      </w:r>
      <w:bookmarkEnd w:id="63"/>
      <w:bookmarkEnd w:id="64"/>
      <w:bookmarkEnd w:id="65"/>
      <w:r>
        <w:rPr>
          <w:u w:val="none"/>
        </w:rPr>
        <w:t xml:space="preserve"> </w:t>
      </w:r>
      <w:bookmarkEnd w:id="66"/>
    </w:p>
    <w:p w14:paraId="5A0C8D33"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26</w:t>
      </w:r>
      <w:r>
        <w:fldChar w:fldCharType="end"/>
      </w:r>
      <w:r>
        <w:t>.</w:t>
      </w:r>
      <w:r>
        <w:tab/>
        <w:t>Laitosten on ilmoitettava niihin siirtymäsäännöksiin liittyvät tiedot, jotka koskevat uusista säännöksistä määräajaksi vapautettuja instrumentteja, jotka eivät sisällä valtiontukea (asetuksen (EU) N:o 575/2013 484–491 artikla).</w:t>
      </w:r>
    </w:p>
    <w:p w14:paraId="2E91C275" w14:textId="77777777" w:rsidR="00CC7D2C" w:rsidRPr="002A677E" w:rsidRDefault="00CC7D2C" w:rsidP="00886567">
      <w:pPr>
        <w:pStyle w:val="Instructionsberschrift2"/>
        <w:numPr>
          <w:ilvl w:val="0"/>
          <w:numId w:val="0"/>
        </w:numPr>
        <w:ind w:left="357" w:hanging="357"/>
        <w:rPr>
          <w:u w:val="none"/>
        </w:rPr>
      </w:pPr>
      <w:bookmarkStart w:id="67" w:name="_Toc360188338"/>
      <w:bookmarkStart w:id="68" w:name="_Toc473560886"/>
      <w:bookmarkStart w:id="69" w:name="_Toc151714374"/>
      <w:r>
        <w:rPr>
          <w:u w:val="none"/>
        </w:rPr>
        <w:t>1.6.3.1</w:t>
      </w:r>
      <w:r>
        <w:rPr>
          <w:u w:val="none"/>
        </w:rPr>
        <w:tab/>
      </w:r>
      <w:r>
        <w:t>Positiokohtaiset ohjeet</w:t>
      </w:r>
      <w:bookmarkEnd w:id="67"/>
      <w:bookmarkEnd w:id="68"/>
      <w:bookmarkEnd w:id="69"/>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CC7D2C" w:rsidRPr="002A677E" w14:paraId="6075237F" w14:textId="77777777" w:rsidTr="00822842">
        <w:tc>
          <w:tcPr>
            <w:tcW w:w="8181" w:type="dxa"/>
            <w:gridSpan w:val="2"/>
            <w:shd w:val="clear" w:color="auto" w:fill="D9D9D9"/>
          </w:tcPr>
          <w:p w14:paraId="28DDCFAF"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Sarakkeet</w:t>
            </w:r>
          </w:p>
        </w:tc>
      </w:tr>
      <w:tr w:rsidR="00CC7D2C" w:rsidRPr="002A677E" w14:paraId="458A32BC" w14:textId="77777777" w:rsidTr="00822842">
        <w:tc>
          <w:tcPr>
            <w:tcW w:w="703" w:type="dxa"/>
          </w:tcPr>
          <w:p w14:paraId="08DF9E73"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05CE570E"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Instrumenttien ja niihin liittyvien ylikurssirahastojen määrä</w:t>
            </w:r>
          </w:p>
          <w:p w14:paraId="57EE6D2E"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Asetuksen (EU) N:o 575/2013 484 artiklan 3, 4 ja 5 kohta</w:t>
            </w:r>
          </w:p>
          <w:p w14:paraId="70DF6748"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Hyväksyttävät instrumentit ja niihin liittyvät ylikurssirahastot ilmoitetaan omilla riveillään.</w:t>
            </w:r>
          </w:p>
        </w:tc>
      </w:tr>
      <w:tr w:rsidR="00CC7D2C" w:rsidRPr="002A677E" w14:paraId="132470E6" w14:textId="77777777" w:rsidTr="00822842">
        <w:tc>
          <w:tcPr>
            <w:tcW w:w="703" w:type="dxa"/>
          </w:tcPr>
          <w:p w14:paraId="61C9409E"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00C0E3F0"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Rajan laskentaperuste</w:t>
            </w:r>
          </w:p>
          <w:p w14:paraId="02F52F4E"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Asetuksen (EU) N:o 575/2013 486 artiklan 2, 3 ja 4 kohta</w:t>
            </w:r>
          </w:p>
        </w:tc>
      </w:tr>
      <w:tr w:rsidR="00CC7D2C" w:rsidRPr="002A677E" w14:paraId="1F19F2EF" w14:textId="77777777" w:rsidTr="00822842">
        <w:tc>
          <w:tcPr>
            <w:tcW w:w="703" w:type="dxa"/>
          </w:tcPr>
          <w:p w14:paraId="780BD0F2"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785BDDF7"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Sovellettava prosenttiosuus</w:t>
            </w:r>
          </w:p>
          <w:p w14:paraId="775F53AC"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Asetuksen (EU) N:o 575/2013 486 artiklan 5 kohta</w:t>
            </w:r>
          </w:p>
        </w:tc>
      </w:tr>
      <w:tr w:rsidR="00CC7D2C" w:rsidRPr="002A677E" w14:paraId="54685F6B" w14:textId="77777777" w:rsidTr="00822842">
        <w:tc>
          <w:tcPr>
            <w:tcW w:w="703" w:type="dxa"/>
          </w:tcPr>
          <w:p w14:paraId="418981A2"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lastRenderedPageBreak/>
              <w:t>0040</w:t>
            </w:r>
          </w:p>
        </w:tc>
        <w:tc>
          <w:tcPr>
            <w:tcW w:w="7478" w:type="dxa"/>
          </w:tcPr>
          <w:p w14:paraId="533EF047"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Raja</w:t>
            </w:r>
          </w:p>
          <w:p w14:paraId="3094B820"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Asetuksen (EU) N:o 575/2013 486 artiklan 2–5 kohta</w:t>
            </w:r>
          </w:p>
        </w:tc>
      </w:tr>
      <w:tr w:rsidR="00CC7D2C" w:rsidRPr="002A677E" w14:paraId="448C42F5" w14:textId="77777777" w:rsidTr="00822842">
        <w:tc>
          <w:tcPr>
            <w:tcW w:w="703" w:type="dxa"/>
          </w:tcPr>
          <w:p w14:paraId="432163C3"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72FD0C26"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 Määrä, joka ylittää määräaikaiselle vapauttamiselle asetetut rajoitukset</w:t>
            </w:r>
          </w:p>
          <w:p w14:paraId="70C8059D"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Asetuksen (EU) N:o 575/2013 486 artiklan 2–5 kohta</w:t>
            </w:r>
          </w:p>
        </w:tc>
      </w:tr>
      <w:tr w:rsidR="00CC7D2C" w:rsidRPr="002A677E" w14:paraId="156646FC" w14:textId="77777777" w:rsidTr="00822842">
        <w:tc>
          <w:tcPr>
            <w:tcW w:w="703" w:type="dxa"/>
          </w:tcPr>
          <w:p w14:paraId="53F192A2"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759344B0"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Määräajaksi vapautetut instrumentit yhteensä</w:t>
            </w:r>
          </w:p>
          <w:p w14:paraId="2DBF0D19"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Ilmoitettavan määrän on vastattava määriä, jotka ilmoitetaan CA5.1-lomakkeen rivin 060 vastaavissa sarakkeissa.</w:t>
            </w:r>
          </w:p>
        </w:tc>
      </w:tr>
    </w:tbl>
    <w:p w14:paraId="0FBDEF4B" w14:textId="77777777" w:rsidR="00CC7D2C" w:rsidRPr="002A677E" w:rsidRDefault="00CC7D2C" w:rsidP="00CC7D2C">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CC7D2C" w:rsidRPr="002A677E" w14:paraId="652B779B" w14:textId="77777777" w:rsidTr="00822842">
        <w:tc>
          <w:tcPr>
            <w:tcW w:w="8181" w:type="dxa"/>
            <w:gridSpan w:val="2"/>
            <w:shd w:val="clear" w:color="auto" w:fill="D9D9D9"/>
          </w:tcPr>
          <w:p w14:paraId="0491B723" w14:textId="77777777" w:rsidR="00CC7D2C" w:rsidRPr="002A677E" w:rsidRDefault="00CC7D2C" w:rsidP="00822842">
            <w:pPr>
              <w:pStyle w:val="body"/>
            </w:pPr>
            <w:r>
              <w:t>Rivit</w:t>
            </w:r>
          </w:p>
        </w:tc>
      </w:tr>
      <w:tr w:rsidR="00CC7D2C" w:rsidRPr="002A677E" w14:paraId="62945B5D" w14:textId="77777777" w:rsidTr="00822842">
        <w:tc>
          <w:tcPr>
            <w:tcW w:w="703" w:type="dxa"/>
          </w:tcPr>
          <w:p w14:paraId="4F98507F"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2154F427"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1.</w:t>
            </w:r>
            <w:r>
              <w:rPr>
                <w:rStyle w:val="InstructionsTabelleberschrift"/>
                <w:rFonts w:ascii="Times New Roman" w:hAnsi="Times New Roman"/>
                <w:sz w:val="24"/>
              </w:rPr>
              <w:tab/>
              <w:t>Direktiivin 2006/48/EY 57 artiklan a alakohdan ehdot täyttävät instrumentit</w:t>
            </w:r>
          </w:p>
          <w:p w14:paraId="532731BE"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Asetuksen (EU) N:o 575/2013 484 artiklan 3 kohta</w:t>
            </w:r>
          </w:p>
          <w:p w14:paraId="21AC1AFF"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Ilmoitettavaan määrään on sisällytettävä instrumentteihin liittyvät ylikurssirahastot.</w:t>
            </w:r>
          </w:p>
        </w:tc>
      </w:tr>
      <w:tr w:rsidR="00CC7D2C" w:rsidRPr="002A677E" w14:paraId="545DA38E" w14:textId="77777777" w:rsidTr="00822842">
        <w:tc>
          <w:tcPr>
            <w:tcW w:w="703" w:type="dxa"/>
          </w:tcPr>
          <w:p w14:paraId="7081D77F"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403525BD"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w:t>
            </w:r>
            <w:r>
              <w:rPr>
                <w:rStyle w:val="InstructionsTabelleberschrift"/>
                <w:rFonts w:ascii="Times New Roman" w:hAnsi="Times New Roman"/>
                <w:sz w:val="24"/>
              </w:rPr>
              <w:tab/>
              <w:t xml:space="preserve">Direktiivin 2006/48/EY 57 artiklan </w:t>
            </w:r>
            <w:proofErr w:type="spellStart"/>
            <w:r>
              <w:rPr>
                <w:rStyle w:val="InstructionsTabelleberschrift"/>
                <w:rFonts w:ascii="Times New Roman" w:hAnsi="Times New Roman"/>
                <w:sz w:val="24"/>
              </w:rPr>
              <w:t>ca</w:t>
            </w:r>
            <w:proofErr w:type="spellEnd"/>
            <w:r>
              <w:rPr>
                <w:rStyle w:val="InstructionsTabelleberschrift"/>
                <w:rFonts w:ascii="Times New Roman" w:hAnsi="Times New Roman"/>
                <w:sz w:val="24"/>
              </w:rPr>
              <w:t xml:space="preserve"> alakohdan ja 154 artiklan 8 ja 9 kohdan ehdot täyttävät instrumentit asetuksen (EU) N:o 575/2013 489 artiklassa määritettyyn rajaan asti</w:t>
            </w:r>
          </w:p>
          <w:p w14:paraId="51F58E37"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Asetuksen (EU) N:o 575/2013 484 artiklan 4 kohta</w:t>
            </w:r>
          </w:p>
        </w:tc>
      </w:tr>
      <w:tr w:rsidR="00CC7D2C" w:rsidRPr="002A677E" w14:paraId="7BBE613A" w14:textId="77777777" w:rsidTr="00822842">
        <w:tc>
          <w:tcPr>
            <w:tcW w:w="703" w:type="dxa"/>
          </w:tcPr>
          <w:p w14:paraId="275854AE"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02B565BD"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2.1</w:t>
            </w:r>
            <w:r>
              <w:rPr>
                <w:rStyle w:val="InstructionsTabelleberschrift"/>
                <w:rFonts w:ascii="Times New Roman" w:hAnsi="Times New Roman"/>
                <w:sz w:val="24"/>
              </w:rPr>
              <w:tab/>
              <w:t>Kaikki instrumentit, jotka eivät sisällä osto-optiota tai lunastamiskannustinta</w:t>
            </w:r>
          </w:p>
          <w:p w14:paraId="040CC4ED" w14:textId="77777777" w:rsidR="00CC7D2C" w:rsidRPr="002A677E" w:rsidRDefault="00CC7D2C" w:rsidP="00822842">
            <w:pPr>
              <w:pStyle w:val="body"/>
              <w:rPr>
                <w:rStyle w:val="InstructionsTabelleText"/>
                <w:rFonts w:ascii="Times New Roman" w:hAnsi="Times New Roman"/>
                <w:bCs/>
                <w:sz w:val="24"/>
              </w:rPr>
            </w:pPr>
            <w:r>
              <w:rPr>
                <w:rStyle w:val="InstructionsTabelleText"/>
                <w:rFonts w:ascii="Times New Roman" w:hAnsi="Times New Roman"/>
                <w:sz w:val="24"/>
              </w:rPr>
              <w:t>Asetuksen (EU) N:o 575/2013 484 artiklan 4 kohta ja 489 artikla</w:t>
            </w:r>
          </w:p>
          <w:p w14:paraId="78EB7397"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Ilmoitettavaan määrään on sisällytettävä instrumentteihin liittyvät ylikurssirahastot.</w:t>
            </w:r>
          </w:p>
        </w:tc>
      </w:tr>
      <w:tr w:rsidR="00CC7D2C" w:rsidRPr="002A677E" w14:paraId="7BA70EA9" w14:textId="77777777" w:rsidTr="00822842">
        <w:tc>
          <w:tcPr>
            <w:tcW w:w="703" w:type="dxa"/>
          </w:tcPr>
          <w:p w14:paraId="51A4E907"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3E8C8E3B"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2.2</w:t>
            </w:r>
            <w:r>
              <w:rPr>
                <w:rStyle w:val="InstructionsTabelleberschrift"/>
                <w:rFonts w:ascii="Times New Roman" w:hAnsi="Times New Roman"/>
                <w:sz w:val="24"/>
              </w:rPr>
              <w:tab/>
              <w:t>Osto-option ja lunastamiskannustimen sisältävät määräajaksi vapautetut instrumentit</w:t>
            </w:r>
          </w:p>
          <w:p w14:paraId="31393B5C" w14:textId="77777777" w:rsidR="00CC7D2C" w:rsidRPr="002A677E" w:rsidRDefault="00CC7D2C" w:rsidP="00822842">
            <w:pPr>
              <w:pStyle w:val="body"/>
              <w:rPr>
                <w:rStyle w:val="InstructionsTabelleText"/>
                <w:rFonts w:ascii="Times New Roman" w:hAnsi="Times New Roman"/>
                <w:bCs/>
                <w:sz w:val="24"/>
              </w:rPr>
            </w:pPr>
            <w:r>
              <w:rPr>
                <w:rStyle w:val="InstructionsTabelleText"/>
                <w:rFonts w:ascii="Times New Roman" w:hAnsi="Times New Roman"/>
                <w:sz w:val="24"/>
              </w:rPr>
              <w:lastRenderedPageBreak/>
              <w:t>Asetuksen (EU) N:o 575/2013 489 artikla</w:t>
            </w:r>
          </w:p>
        </w:tc>
      </w:tr>
      <w:tr w:rsidR="00CC7D2C" w:rsidRPr="002A677E" w14:paraId="686725ED" w14:textId="77777777" w:rsidTr="00822842">
        <w:tc>
          <w:tcPr>
            <w:tcW w:w="703" w:type="dxa"/>
          </w:tcPr>
          <w:p w14:paraId="52EA6C38"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lastRenderedPageBreak/>
              <w:t>0050</w:t>
            </w:r>
          </w:p>
        </w:tc>
        <w:tc>
          <w:tcPr>
            <w:tcW w:w="7478" w:type="dxa"/>
          </w:tcPr>
          <w:p w14:paraId="06467FE2"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2.2.1</w:t>
            </w:r>
            <w:r>
              <w:rPr>
                <w:rStyle w:val="InstructionsTabelleberschrift"/>
                <w:rFonts w:ascii="Times New Roman" w:hAnsi="Times New Roman"/>
                <w:sz w:val="24"/>
              </w:rPr>
              <w:tab/>
              <w:t>Instrumentit, joiden osto-optiota on ollut mahdollista käyttää raportointipäivän jälkeen ja jotka täyttävät asetuksen (EU) N:o 575/2013 52 artiklan edellytykset efektiivisen maturiteettipäivän jälkeen</w:t>
            </w:r>
          </w:p>
          <w:p w14:paraId="59A4A4EB"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Asetuksen (EU) N:o 575/2013 489 artiklan 3 kohta ja 491 artiklan a alakohta</w:t>
            </w:r>
          </w:p>
          <w:p w14:paraId="1C579E78"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Ilmoitettavaan määrään on sisällytettävä instrumentteihin liittyvät ylikurssirahastot.</w:t>
            </w:r>
          </w:p>
        </w:tc>
      </w:tr>
      <w:tr w:rsidR="00CC7D2C" w:rsidRPr="002A677E" w14:paraId="3E607C9E" w14:textId="77777777" w:rsidTr="00822842">
        <w:tc>
          <w:tcPr>
            <w:tcW w:w="703" w:type="dxa"/>
          </w:tcPr>
          <w:p w14:paraId="5826E81D"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67A37367"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2.2.2</w:t>
            </w:r>
            <w:r>
              <w:rPr>
                <w:rStyle w:val="InstructionsTabelleberschrift"/>
                <w:rFonts w:ascii="Times New Roman" w:hAnsi="Times New Roman"/>
                <w:sz w:val="24"/>
              </w:rPr>
              <w:tab/>
              <w:t>Instrumentit, joiden osto-optiota on ollut mahdollista käyttää raportointipäivän jälkeen ja jotka eivät täytä asetuksen (EU) N:o 575/2013 52 artiklan edellytyksiä efektiivisen maturiteettipäivän jälkeen</w:t>
            </w:r>
          </w:p>
          <w:p w14:paraId="048F3294"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Asetuksen (EU) N:o 575/2013 489 artiklan 5 kohta ja 491 artiklan a alakohta</w:t>
            </w:r>
          </w:p>
          <w:p w14:paraId="04940A6C"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Ilmoitettavaan määrään on sisällytettävä instrumentteihin liittyvät ylikurssirahastot.</w:t>
            </w:r>
          </w:p>
        </w:tc>
      </w:tr>
      <w:tr w:rsidR="00CC7D2C" w:rsidRPr="002A677E" w14:paraId="5CBC3FAD" w14:textId="77777777" w:rsidTr="00822842">
        <w:tc>
          <w:tcPr>
            <w:tcW w:w="703" w:type="dxa"/>
          </w:tcPr>
          <w:p w14:paraId="169999C2"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14:paraId="1DAC7195"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2.2.3</w:t>
            </w:r>
            <w:r>
              <w:rPr>
                <w:rStyle w:val="InstructionsTabelleberschrift"/>
                <w:rFonts w:ascii="Times New Roman" w:hAnsi="Times New Roman"/>
                <w:sz w:val="24"/>
              </w:rPr>
              <w:tab/>
              <w:t>Instrumentit, joiden osto-optiota on ollut mahdollista käyttää 20 päivänä heinäkuuta 2011 tai ennen sitä ja jotka eivät täytä asetuksen (EU) N:o 575/2013 52 artiklan edellytyksiä efektiivisen maturiteettipäivän jälkeen</w:t>
            </w:r>
          </w:p>
          <w:p w14:paraId="7B8E2D41"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Asetuksen (EU) N:o 575/2013 489 artiklan 6 kohta ja 491 artiklan c alakohta</w:t>
            </w:r>
          </w:p>
          <w:p w14:paraId="186B056F"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Ilmoitettavaan määrään on sisällytettävä instrumentteihin liittyvät ylikurssirahastot.</w:t>
            </w:r>
          </w:p>
        </w:tc>
      </w:tr>
      <w:tr w:rsidR="00CC7D2C" w:rsidRPr="002A677E" w14:paraId="34FF31BB" w14:textId="77777777" w:rsidTr="00822842">
        <w:tc>
          <w:tcPr>
            <w:tcW w:w="703" w:type="dxa"/>
          </w:tcPr>
          <w:p w14:paraId="3CE3AD35"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0578B089"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2.3</w:t>
            </w:r>
            <w:r>
              <w:rPr>
                <w:rStyle w:val="InstructionsTabelleberschrift"/>
                <w:rFonts w:ascii="Times New Roman" w:hAnsi="Times New Roman"/>
                <w:sz w:val="24"/>
              </w:rPr>
              <w:tab/>
              <w:t>Määräajaksi vapautettuja ydinpääoman (CET1) instrumentteja koskevaan rajaan liittyvä ylijäämä</w:t>
            </w:r>
          </w:p>
          <w:p w14:paraId="021928ED"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Asetuksen (EU) N:o 575/2013 487 artiklan 1 kohta</w:t>
            </w:r>
          </w:p>
          <w:p w14:paraId="1A43C592"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Määrää, joka ylittää uusista säännöksistä määräajaksi vapautetuille ydinpääoman (CET1) instrumenteille asetetun rajan, voidaan käsitellä instrumentteina, jotka voidaan vapauttaa uusista säännöksistä määräajaksi ensisijaisen lisäpääoman (AT1) instrumentteina.</w:t>
            </w:r>
          </w:p>
        </w:tc>
      </w:tr>
      <w:tr w:rsidR="00CC7D2C" w:rsidRPr="002A677E" w14:paraId="0C275ADD" w14:textId="77777777" w:rsidTr="00822842">
        <w:tc>
          <w:tcPr>
            <w:tcW w:w="703" w:type="dxa"/>
          </w:tcPr>
          <w:p w14:paraId="3D23AC8C"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lastRenderedPageBreak/>
              <w:t>0090</w:t>
            </w:r>
          </w:p>
        </w:tc>
        <w:tc>
          <w:tcPr>
            <w:tcW w:w="7478" w:type="dxa"/>
          </w:tcPr>
          <w:p w14:paraId="1C9F59FE"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3.</w:t>
            </w:r>
            <w:r>
              <w:rPr>
                <w:rStyle w:val="InstructionsTabelleberschrift"/>
                <w:rFonts w:ascii="Times New Roman" w:hAnsi="Times New Roman"/>
                <w:sz w:val="24"/>
              </w:rPr>
              <w:tab/>
              <w:t>Direktiivin 2006/48/EY 57 artiklan e, f, g tai h alakohdan ehdot täyttävät erät asetuksen (EU) N:o 575/2013 490 artiklassa määritettyyn rajaan asti</w:t>
            </w:r>
          </w:p>
          <w:p w14:paraId="284C24AA" w14:textId="77777777" w:rsidR="00CC7D2C" w:rsidRPr="002A677E" w:rsidRDefault="00CC7D2C" w:rsidP="00822842">
            <w:pPr>
              <w:pStyle w:val="body"/>
              <w:rPr>
                <w:rStyle w:val="InstructionsTabelleText"/>
                <w:rFonts w:ascii="Times New Roman" w:hAnsi="Times New Roman"/>
                <w:bCs/>
                <w:sz w:val="24"/>
              </w:rPr>
            </w:pPr>
            <w:r>
              <w:rPr>
                <w:rStyle w:val="InstructionsTabelleText"/>
                <w:rFonts w:ascii="Times New Roman" w:hAnsi="Times New Roman"/>
                <w:sz w:val="24"/>
              </w:rPr>
              <w:t>Asetuksen (EU) N:o 575/2013 484 artiklan 5 kohta</w:t>
            </w:r>
          </w:p>
        </w:tc>
      </w:tr>
      <w:tr w:rsidR="00CC7D2C" w:rsidRPr="002A677E" w14:paraId="17FF6CE2" w14:textId="77777777" w:rsidTr="00822842">
        <w:tc>
          <w:tcPr>
            <w:tcW w:w="703" w:type="dxa"/>
          </w:tcPr>
          <w:p w14:paraId="5CD5803D"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05A58798"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3.1</w:t>
            </w:r>
            <w:r>
              <w:rPr>
                <w:rStyle w:val="InstructionsTabelleberschrift"/>
                <w:rFonts w:ascii="Times New Roman" w:hAnsi="Times New Roman"/>
                <w:sz w:val="24"/>
              </w:rPr>
              <w:tab/>
              <w:t>Lunastamiskannustinta sisältämättömät erät yhteensä</w:t>
            </w:r>
          </w:p>
          <w:p w14:paraId="3A4F871E"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Asetuksen (EU) N:o 575/2013 490 artikla</w:t>
            </w:r>
          </w:p>
        </w:tc>
      </w:tr>
      <w:tr w:rsidR="00CC7D2C" w:rsidRPr="002A677E" w14:paraId="2FBC6A04" w14:textId="77777777" w:rsidTr="00822842">
        <w:tc>
          <w:tcPr>
            <w:tcW w:w="703" w:type="dxa"/>
          </w:tcPr>
          <w:p w14:paraId="3D00CB8E"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0110</w:t>
            </w:r>
          </w:p>
        </w:tc>
        <w:tc>
          <w:tcPr>
            <w:tcW w:w="7478" w:type="dxa"/>
          </w:tcPr>
          <w:p w14:paraId="628DDBED"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w:t>
            </w:r>
            <w:r>
              <w:rPr>
                <w:rStyle w:val="InstructionsTabelleberschrift"/>
                <w:rFonts w:ascii="Times New Roman" w:hAnsi="Times New Roman"/>
                <w:sz w:val="24"/>
              </w:rPr>
              <w:tab/>
              <w:t>Lunastamiskannustimen sisältävät määräajaksi vapautetut erät</w:t>
            </w:r>
          </w:p>
          <w:p w14:paraId="773B0F07"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Asetuksen (EU) N:o 575/2013 490 artikla</w:t>
            </w:r>
          </w:p>
        </w:tc>
      </w:tr>
      <w:tr w:rsidR="00CC7D2C" w:rsidRPr="002A677E" w14:paraId="5249897B" w14:textId="77777777" w:rsidTr="00822842">
        <w:tc>
          <w:tcPr>
            <w:tcW w:w="703" w:type="dxa"/>
          </w:tcPr>
          <w:p w14:paraId="6A3BF9A3"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0120</w:t>
            </w:r>
          </w:p>
        </w:tc>
        <w:tc>
          <w:tcPr>
            <w:tcW w:w="7478" w:type="dxa"/>
          </w:tcPr>
          <w:p w14:paraId="19E4C86B"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3.2.1</w:t>
            </w:r>
            <w:r>
              <w:rPr>
                <w:rStyle w:val="InstructionsTabelleberschrift"/>
                <w:rFonts w:ascii="Times New Roman" w:hAnsi="Times New Roman"/>
                <w:sz w:val="24"/>
              </w:rPr>
              <w:tab/>
              <w:t>Erät, joiden osto-optiota on ollut mahdollista käyttää raportointipäivän jälkeen ja jotka täyttävät asetuksen (EU) N:o 575/2013 63 artiklan edellytykset efektiivisen maturiteettipäivän jälkeen</w:t>
            </w:r>
          </w:p>
          <w:p w14:paraId="78E9816A"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Asetuksen (EU) N:o 575/2013 490 artiklan 3 kohta ja 491 artiklan a alakohta</w:t>
            </w:r>
          </w:p>
          <w:p w14:paraId="3116C9D4"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Ilmoitettavaan määrään on sisällytettävä instrumentteihin liittyvät ylikurssirahastot.</w:t>
            </w:r>
          </w:p>
        </w:tc>
      </w:tr>
      <w:tr w:rsidR="00CC7D2C" w:rsidRPr="002A677E" w14:paraId="0D1B7BB0" w14:textId="77777777" w:rsidTr="00822842">
        <w:tc>
          <w:tcPr>
            <w:tcW w:w="703" w:type="dxa"/>
          </w:tcPr>
          <w:p w14:paraId="6A2C07C0"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0130</w:t>
            </w:r>
          </w:p>
        </w:tc>
        <w:tc>
          <w:tcPr>
            <w:tcW w:w="7478" w:type="dxa"/>
          </w:tcPr>
          <w:p w14:paraId="3632494F"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3.2.2</w:t>
            </w:r>
            <w:r>
              <w:rPr>
                <w:rStyle w:val="InstructionsTabelleberschrift"/>
                <w:rFonts w:ascii="Times New Roman" w:hAnsi="Times New Roman"/>
                <w:sz w:val="24"/>
              </w:rPr>
              <w:tab/>
              <w:t>Erät, joiden osto-optiota on ollut mahdollista käyttää raportointipäivän jälkeen ja jotka eivät täytä asetuksen (EU) N:o 575/2013 63 artiklan edellytyksiä efektiivisen maturiteettipäivän jälkeen</w:t>
            </w:r>
          </w:p>
          <w:p w14:paraId="42333F81"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Asetuksen (EU) N:o 575/2013 490 artiklan 5 kohta ja 491 artiklan a alakohta</w:t>
            </w:r>
          </w:p>
          <w:p w14:paraId="43180F9B"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Ilmoitettavaan määrään on sisällytettävä instrumentteihin liittyvät ylikurssirahastot.</w:t>
            </w:r>
          </w:p>
        </w:tc>
      </w:tr>
      <w:tr w:rsidR="00CC7D2C" w:rsidRPr="002A677E" w14:paraId="73CDFE7F" w14:textId="77777777" w:rsidTr="00822842">
        <w:tc>
          <w:tcPr>
            <w:tcW w:w="703" w:type="dxa"/>
          </w:tcPr>
          <w:p w14:paraId="7264C243"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1E7D6E71" w14:textId="77777777" w:rsidR="00CC7D2C" w:rsidRPr="002A677E" w:rsidRDefault="00CC7D2C" w:rsidP="00822842">
            <w:pPr>
              <w:pStyle w:val="body"/>
              <w:rPr>
                <w:rStyle w:val="InstructionsTabelleberschrift"/>
                <w:rFonts w:ascii="Times New Roman" w:hAnsi="Times New Roman"/>
                <w:bCs w:val="0"/>
                <w:sz w:val="24"/>
              </w:rPr>
            </w:pPr>
            <w:r>
              <w:rPr>
                <w:rStyle w:val="InstructionsTabelleberschrift"/>
                <w:rFonts w:ascii="Times New Roman" w:hAnsi="Times New Roman"/>
                <w:sz w:val="24"/>
              </w:rPr>
              <w:t>3.2.3</w:t>
            </w:r>
            <w:r>
              <w:rPr>
                <w:rStyle w:val="InstructionsTabelleberschrift"/>
                <w:rFonts w:ascii="Times New Roman" w:hAnsi="Times New Roman"/>
                <w:sz w:val="24"/>
              </w:rPr>
              <w:tab/>
              <w:t>Erät, joiden osto-optiota on ollut mahdollista käyttää 20 päivänä heinäkuuta 2011 tai ennen sitä ja jotka eivät täytä asetuksen (EU) N:o 575/2013 63 artiklan edellytyksiä efektiivisen maturiteettipäivän jälkeen</w:t>
            </w:r>
          </w:p>
          <w:p w14:paraId="4D02A052"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Asetuksen (EU) N:o 575/2013 490 artiklan 6 kohta ja 491 artiklan c alakohta</w:t>
            </w:r>
          </w:p>
          <w:p w14:paraId="78CD3743"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Ilmoitettavaan määrään on sisällytettävä instrumentteihin liittyvät ylikurssirahastot.</w:t>
            </w:r>
          </w:p>
        </w:tc>
      </w:tr>
      <w:tr w:rsidR="00CC7D2C" w:rsidRPr="002A677E" w14:paraId="6303C10E" w14:textId="77777777" w:rsidTr="00822842">
        <w:tc>
          <w:tcPr>
            <w:tcW w:w="703" w:type="dxa"/>
          </w:tcPr>
          <w:p w14:paraId="40A94366"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lastRenderedPageBreak/>
              <w:t>0150</w:t>
            </w:r>
          </w:p>
        </w:tc>
        <w:tc>
          <w:tcPr>
            <w:tcW w:w="7478" w:type="dxa"/>
          </w:tcPr>
          <w:p w14:paraId="388B843C"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3.3</w:t>
            </w:r>
            <w:r>
              <w:rPr>
                <w:rStyle w:val="InstructionsTabelleberschrift"/>
                <w:rFonts w:ascii="Times New Roman" w:hAnsi="Times New Roman"/>
                <w:sz w:val="24"/>
              </w:rPr>
              <w:tab/>
              <w:t>Määräajaksi vapautettuja ensisijaisen lisäpääoman (AT1) instrumentteja koskevaan rajaan liittyvä ylijäämä</w:t>
            </w:r>
          </w:p>
          <w:p w14:paraId="5B5CC604"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Asetuksen (EU) N:o 575/2013 487 artiklan 2 kohta</w:t>
            </w:r>
            <w:r>
              <w:rPr>
                <w:rFonts w:ascii="Times New Roman" w:hAnsi="Times New Roman"/>
                <w:sz w:val="24"/>
              </w:rPr>
              <w:t xml:space="preserve"> </w:t>
            </w:r>
          </w:p>
          <w:p w14:paraId="11256797"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Määrää, joka ylittää uusista säännöksistä määräajaksi vapautetuille ensisijaisen lisäpääoman (AT1) instrumenteille asetetun rajan, voidaan käsitellä instrumentteina, jotka voidaan vapauttaa uusista säännöksistä määräajaksi toissijaisen pääoman (T2) instrumentteina.</w:t>
            </w:r>
          </w:p>
        </w:tc>
      </w:tr>
    </w:tbl>
    <w:p w14:paraId="6B9B322A" w14:textId="77777777" w:rsidR="00E26A90" w:rsidRDefault="00E26A90"/>
    <w:p w14:paraId="5F847FCD" w14:textId="77777777" w:rsidR="00CC7D2C" w:rsidRDefault="00CC7D2C"/>
    <w:sectPr w:rsidR="00CC7D2C">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07281" w14:textId="77777777" w:rsidR="00637DBF" w:rsidRDefault="00637DBF" w:rsidP="00E26A90">
      <w:pPr>
        <w:spacing w:after="0"/>
      </w:pPr>
      <w:r>
        <w:separator/>
      </w:r>
    </w:p>
  </w:endnote>
  <w:endnote w:type="continuationSeparator" w:id="0">
    <w:p w14:paraId="50B5B77D" w14:textId="77777777" w:rsidR="00637DBF" w:rsidRDefault="00637DBF"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D1EC7" w14:textId="77777777" w:rsidR="00637DBF" w:rsidRDefault="00637DBF" w:rsidP="00E26A90">
      <w:pPr>
        <w:spacing w:after="0"/>
      </w:pPr>
      <w:r>
        <w:separator/>
      </w:r>
    </w:p>
  </w:footnote>
  <w:footnote w:type="continuationSeparator" w:id="0">
    <w:p w14:paraId="0085C367" w14:textId="77777777" w:rsidR="00637DBF" w:rsidRDefault="00637DBF" w:rsidP="00E26A90">
      <w:pPr>
        <w:spacing w:after="0"/>
      </w:pPr>
      <w:r>
        <w:continuationSeparator/>
      </w:r>
    </w:p>
  </w:footnote>
  <w:footnote w:id="1">
    <w:p w14:paraId="22120E94" w14:textId="77777777" w:rsidR="00CC7D2C" w:rsidRPr="005B592F" w:rsidRDefault="00CC7D2C" w:rsidP="00CC7D2C">
      <w:pPr>
        <w:pStyle w:val="NormalWeb"/>
        <w:spacing w:before="0" w:beforeAutospacing="0" w:after="0" w:afterAutospacing="0"/>
        <w:ind w:left="567" w:hanging="567"/>
        <w:jc w:val="both"/>
        <w:rPr>
          <w:sz w:val="20"/>
          <w:szCs w:val="20"/>
        </w:rPr>
      </w:pPr>
      <w:r>
        <w:rPr>
          <w:rStyle w:val="FootnoteReference"/>
          <w:sz w:val="20"/>
          <w:szCs w:val="20"/>
        </w:rPr>
        <w:footnoteRef/>
      </w:r>
      <w:r>
        <w:tab/>
        <w:t>Komission delegoitu asetus (EU) N:o 241/2014, annettu 7 päivänä tammikuuta 2014, Euroopan parlamentin ja neuvoston asetuksen (EU) N:o 575/2013 täydentämisestä teknisillä sääntelystandardeilla laitoksia koskevien omien varojen vaatimusten alalla (EUVL L 74, 14.3.2014, s. 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5DF06BF"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02959BA"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B4A3D6F"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0" w15:restartNumberingAfterBreak="0">
    <w:nsid w:val="2F7D7F02"/>
    <w:multiLevelType w:val="multilevel"/>
    <w:tmpl w:val="0407001D"/>
    <w:numStyleLink w:val="Formatvorlage3"/>
  </w:abstractNum>
  <w:abstractNum w:abstractNumId="1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3"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4"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1"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2"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6"/>
  </w:num>
  <w:num w:numId="3" w16cid:durableId="286200695">
    <w:abstractNumId w:val="35"/>
  </w:num>
  <w:num w:numId="4" w16cid:durableId="487287975">
    <w:abstractNumId w:val="19"/>
  </w:num>
  <w:num w:numId="5" w16cid:durableId="1754350949">
    <w:abstractNumId w:val="29"/>
  </w:num>
  <w:num w:numId="6" w16cid:durableId="1507597667">
    <w:abstractNumId w:val="15"/>
  </w:num>
  <w:num w:numId="7" w16cid:durableId="139271283">
    <w:abstractNumId w:val="34"/>
  </w:num>
  <w:num w:numId="8" w16cid:durableId="763764270">
    <w:abstractNumId w:val="7"/>
  </w:num>
  <w:num w:numId="9" w16cid:durableId="1561986968">
    <w:abstractNumId w:val="27"/>
  </w:num>
  <w:num w:numId="10" w16cid:durableId="1349260748">
    <w:abstractNumId w:val="13"/>
  </w:num>
  <w:num w:numId="11" w16cid:durableId="1097991330">
    <w:abstractNumId w:val="21"/>
  </w:num>
  <w:num w:numId="12" w16cid:durableId="858469680">
    <w:abstractNumId w:val="8"/>
  </w:num>
  <w:num w:numId="13" w16cid:durableId="1485394352">
    <w:abstractNumId w:val="28"/>
  </w:num>
  <w:num w:numId="14" w16cid:durableId="881021889">
    <w:abstractNumId w:val="25"/>
  </w:num>
  <w:num w:numId="15" w16cid:durableId="1923681300">
    <w:abstractNumId w:val="11"/>
  </w:num>
  <w:num w:numId="16" w16cid:durableId="211188018">
    <w:abstractNumId w:val="20"/>
  </w:num>
  <w:num w:numId="17" w16cid:durableId="373817584">
    <w:abstractNumId w:val="10"/>
  </w:num>
  <w:num w:numId="18" w16cid:durableId="1615165847">
    <w:abstractNumId w:val="30"/>
  </w:num>
  <w:num w:numId="19" w16cid:durableId="429467310">
    <w:abstractNumId w:val="4"/>
  </w:num>
  <w:num w:numId="20" w16cid:durableId="1023021418">
    <w:abstractNumId w:val="12"/>
  </w:num>
  <w:num w:numId="21" w16cid:durableId="510485648">
    <w:abstractNumId w:val="18"/>
  </w:num>
  <w:num w:numId="22" w16cid:durableId="863594772">
    <w:abstractNumId w:val="24"/>
  </w:num>
  <w:num w:numId="23" w16cid:durableId="1184786628">
    <w:abstractNumId w:val="31"/>
  </w:num>
  <w:num w:numId="24" w16cid:durableId="156314703">
    <w:abstractNumId w:val="6"/>
  </w:num>
  <w:num w:numId="25" w16cid:durableId="1106079368">
    <w:abstractNumId w:val="16"/>
  </w:num>
  <w:num w:numId="26" w16cid:durableId="1353070508">
    <w:abstractNumId w:val="23"/>
  </w:num>
  <w:num w:numId="27" w16cid:durableId="70588701">
    <w:abstractNumId w:val="5"/>
  </w:num>
  <w:num w:numId="28" w16cid:durableId="1079792157">
    <w:abstractNumId w:val="17"/>
  </w:num>
  <w:num w:numId="29" w16cid:durableId="1333265662">
    <w:abstractNumId w:val="2"/>
  </w:num>
  <w:num w:numId="30" w16cid:durableId="737484550">
    <w:abstractNumId w:val="14"/>
  </w:num>
  <w:num w:numId="31" w16cid:durableId="309210531">
    <w:abstractNumId w:val="33"/>
  </w:num>
  <w:num w:numId="32" w16cid:durableId="166527561">
    <w:abstractNumId w:val="1"/>
  </w:num>
  <w:num w:numId="33" w16cid:durableId="1544101633">
    <w:abstractNumId w:val="32"/>
  </w:num>
  <w:num w:numId="34" w16cid:durableId="44380249">
    <w:abstractNumId w:val="22"/>
  </w:num>
  <w:num w:numId="35" w16cid:durableId="1838038624">
    <w:abstractNumId w:val="0"/>
  </w:num>
  <w:num w:numId="36" w16cid:durableId="1856265522">
    <w:abstractNumId w:val="9"/>
  </w:num>
  <w:num w:numId="37" w16cid:durableId="261912047">
    <w:abstractNumId w:val="1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348C0"/>
    <w:rsid w:val="00070EF5"/>
    <w:rsid w:val="000B4FE0"/>
    <w:rsid w:val="000B73D5"/>
    <w:rsid w:val="000C32E9"/>
    <w:rsid w:val="0013200F"/>
    <w:rsid w:val="00142F33"/>
    <w:rsid w:val="00152C1C"/>
    <w:rsid w:val="00181A32"/>
    <w:rsid w:val="001B3BC1"/>
    <w:rsid w:val="00206539"/>
    <w:rsid w:val="00224FE1"/>
    <w:rsid w:val="00287E31"/>
    <w:rsid w:val="002F0B1D"/>
    <w:rsid w:val="00320EFD"/>
    <w:rsid w:val="00320FF3"/>
    <w:rsid w:val="00345B4F"/>
    <w:rsid w:val="00390E63"/>
    <w:rsid w:val="003C36D5"/>
    <w:rsid w:val="003D5537"/>
    <w:rsid w:val="003D745D"/>
    <w:rsid w:val="00421644"/>
    <w:rsid w:val="004424E0"/>
    <w:rsid w:val="0047453F"/>
    <w:rsid w:val="0048706A"/>
    <w:rsid w:val="004A46D8"/>
    <w:rsid w:val="004C7866"/>
    <w:rsid w:val="00503CAB"/>
    <w:rsid w:val="00585ABC"/>
    <w:rsid w:val="005E3217"/>
    <w:rsid w:val="005F24EB"/>
    <w:rsid w:val="005F25FD"/>
    <w:rsid w:val="00631623"/>
    <w:rsid w:val="00637DBF"/>
    <w:rsid w:val="0064189A"/>
    <w:rsid w:val="006C0BAF"/>
    <w:rsid w:val="00702E18"/>
    <w:rsid w:val="00756BE3"/>
    <w:rsid w:val="00766CB0"/>
    <w:rsid w:val="00767D3D"/>
    <w:rsid w:val="007F42A0"/>
    <w:rsid w:val="007F4B3F"/>
    <w:rsid w:val="008445EC"/>
    <w:rsid w:val="00886567"/>
    <w:rsid w:val="00984406"/>
    <w:rsid w:val="009D5CC6"/>
    <w:rsid w:val="00A6002C"/>
    <w:rsid w:val="00A63F48"/>
    <w:rsid w:val="00A8011A"/>
    <w:rsid w:val="00A85510"/>
    <w:rsid w:val="00A94A24"/>
    <w:rsid w:val="00B0254B"/>
    <w:rsid w:val="00B3752E"/>
    <w:rsid w:val="00B550EF"/>
    <w:rsid w:val="00B71F25"/>
    <w:rsid w:val="00C32586"/>
    <w:rsid w:val="00CC220A"/>
    <w:rsid w:val="00CC7D2C"/>
    <w:rsid w:val="00D1404A"/>
    <w:rsid w:val="00D15A2C"/>
    <w:rsid w:val="00D5131F"/>
    <w:rsid w:val="00DA32D5"/>
    <w:rsid w:val="00DD523D"/>
    <w:rsid w:val="00E14A9A"/>
    <w:rsid w:val="00E26A90"/>
    <w:rsid w:val="00EF07A1"/>
    <w:rsid w:val="00F07734"/>
    <w:rsid w:val="00F70C94"/>
    <w:rsid w:val="00FA5A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i-F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D2C"/>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CC7D2C"/>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767D3D"/>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CC7D2C"/>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CC7D2C"/>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CC7D2C"/>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CC7D2C"/>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CC7D2C"/>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CC7D2C"/>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CC7D2C"/>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CC7D2C"/>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767D3D"/>
    <w:rPr>
      <w:rFonts w:ascii="Verdana" w:eastAsia="Arial" w:hAnsi="Verdana" w:cs="Times New Roman"/>
      <w:b/>
      <w:kern w:val="0"/>
      <w:sz w:val="24"/>
      <w:szCs w:val="24"/>
      <w:u w:val="single"/>
      <w:lang w:val="fi-FI" w:eastAsia="x-none"/>
      <w14:ligatures w14:val="none"/>
    </w:rPr>
  </w:style>
  <w:style w:type="character" w:customStyle="1" w:styleId="Heading3Char">
    <w:name w:val="Heading 3 Char"/>
    <w:aliases w:val="Title 2 Char"/>
    <w:basedOn w:val="DefaultParagraphFont"/>
    <w:uiPriority w:val="99"/>
    <w:rsid w:val="00CC7D2C"/>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CC7D2C"/>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CC7D2C"/>
    <w:rPr>
      <w:rFonts w:ascii="Arial" w:eastAsia="Arial" w:hAnsi="Arial" w:cs="Times New Roman"/>
      <w:b/>
      <w:i/>
      <w:kern w:val="0"/>
      <w:sz w:val="20"/>
      <w:szCs w:val="20"/>
      <w:lang w:val="fi-FI" w:eastAsia="de-DE"/>
      <w14:ligatures w14:val="none"/>
    </w:rPr>
  </w:style>
  <w:style w:type="character" w:customStyle="1" w:styleId="Heading6Char">
    <w:name w:val="Heading 6 Char"/>
    <w:basedOn w:val="DefaultParagraphFont"/>
    <w:link w:val="Heading6"/>
    <w:rsid w:val="00CC7D2C"/>
    <w:rPr>
      <w:rFonts w:ascii="Times New Roman" w:eastAsia="Arial" w:hAnsi="Times New Roman" w:cs="Times New Roman"/>
      <w:b/>
      <w:bCs/>
      <w:kern w:val="0"/>
      <w:sz w:val="20"/>
      <w:szCs w:val="20"/>
      <w:lang w:val="fi-FI" w:eastAsia="de-DE"/>
      <w14:ligatures w14:val="none"/>
    </w:rPr>
  </w:style>
  <w:style w:type="character" w:customStyle="1" w:styleId="Heading7Char">
    <w:name w:val="Heading 7 Char"/>
    <w:basedOn w:val="DefaultParagraphFont"/>
    <w:link w:val="Heading7"/>
    <w:rsid w:val="00CC7D2C"/>
    <w:rPr>
      <w:rFonts w:ascii="Times New Roman" w:eastAsia="Arial" w:hAnsi="Times New Roman" w:cs="Times New Roman"/>
      <w:kern w:val="0"/>
      <w:sz w:val="20"/>
      <w:szCs w:val="20"/>
      <w:lang w:val="fi-FI" w:eastAsia="de-DE"/>
      <w14:ligatures w14:val="none"/>
    </w:rPr>
  </w:style>
  <w:style w:type="character" w:customStyle="1" w:styleId="Heading8Char">
    <w:name w:val="Heading 8 Char"/>
    <w:basedOn w:val="DefaultParagraphFont"/>
    <w:link w:val="Heading8"/>
    <w:rsid w:val="00CC7D2C"/>
    <w:rPr>
      <w:rFonts w:ascii="Times New Roman" w:eastAsia="Arial" w:hAnsi="Times New Roman" w:cs="Times New Roman"/>
      <w:i/>
      <w:iCs/>
      <w:kern w:val="0"/>
      <w:sz w:val="20"/>
      <w:szCs w:val="20"/>
      <w:lang w:val="fi-FI" w:eastAsia="de-DE"/>
      <w14:ligatures w14:val="none"/>
    </w:rPr>
  </w:style>
  <w:style w:type="character" w:customStyle="1" w:styleId="Heading9Char">
    <w:name w:val="Heading 9 Char"/>
    <w:basedOn w:val="DefaultParagraphFont"/>
    <w:link w:val="Heading9"/>
    <w:rsid w:val="00CC7D2C"/>
    <w:rPr>
      <w:rFonts w:ascii="Arial" w:eastAsia="Arial" w:hAnsi="Arial" w:cs="Times New Roman"/>
      <w:kern w:val="0"/>
      <w:sz w:val="20"/>
      <w:szCs w:val="20"/>
      <w:lang w:val="fi-FI" w:eastAsia="de-DE"/>
      <w14:ligatures w14:val="none"/>
    </w:rPr>
  </w:style>
  <w:style w:type="paragraph" w:styleId="TableofFigures">
    <w:name w:val="table of figures"/>
    <w:basedOn w:val="Normal"/>
    <w:next w:val="Normal"/>
    <w:qFormat/>
    <w:rsid w:val="00CC7D2C"/>
    <w:pPr>
      <w:ind w:left="440" w:hanging="440"/>
    </w:pPr>
  </w:style>
  <w:style w:type="paragraph" w:customStyle="1" w:styleId="Aufzhlungszeichen1">
    <w:name w:val="Aufzählungszeichen1"/>
    <w:basedOn w:val="Normal"/>
    <w:uiPriority w:val="1"/>
    <w:qFormat/>
    <w:rsid w:val="00CC7D2C"/>
    <w:pPr>
      <w:numPr>
        <w:numId w:val="1"/>
      </w:numPr>
      <w:spacing w:line="240" w:lineRule="exact"/>
    </w:pPr>
  </w:style>
  <w:style w:type="paragraph" w:customStyle="1" w:styleId="Aufzhlungszeichen2">
    <w:name w:val="Aufzählungszeichen2"/>
    <w:basedOn w:val="Normal"/>
    <w:uiPriority w:val="1"/>
    <w:qFormat/>
    <w:rsid w:val="00CC7D2C"/>
    <w:pPr>
      <w:numPr>
        <w:numId w:val="2"/>
      </w:numPr>
      <w:spacing w:line="240" w:lineRule="exact"/>
    </w:pPr>
  </w:style>
  <w:style w:type="paragraph" w:customStyle="1" w:styleId="Aufzhlungszeichen3">
    <w:name w:val="Aufzählungszeichen3"/>
    <w:basedOn w:val="Normal"/>
    <w:uiPriority w:val="1"/>
    <w:qFormat/>
    <w:rsid w:val="00CC7D2C"/>
    <w:pPr>
      <w:numPr>
        <w:numId w:val="3"/>
      </w:numPr>
      <w:spacing w:line="240" w:lineRule="exact"/>
    </w:pPr>
  </w:style>
  <w:style w:type="paragraph" w:customStyle="1" w:styleId="Aufzhlungszeichen4">
    <w:name w:val="Aufzählungszeichen4"/>
    <w:basedOn w:val="Normal"/>
    <w:uiPriority w:val="1"/>
    <w:qFormat/>
    <w:rsid w:val="00CC7D2C"/>
    <w:pPr>
      <w:numPr>
        <w:numId w:val="4"/>
      </w:numPr>
      <w:spacing w:line="240" w:lineRule="exact"/>
    </w:pPr>
  </w:style>
  <w:style w:type="paragraph" w:styleId="FootnoteText">
    <w:name w:val="footnote text"/>
    <w:basedOn w:val="Normal"/>
    <w:link w:val="FootnoteTextChar"/>
    <w:qFormat/>
    <w:rsid w:val="00CC7D2C"/>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CC7D2C"/>
    <w:rPr>
      <w:rFonts w:ascii="Arial" w:eastAsia="Arial" w:hAnsi="Arial" w:cs="Times New Roman"/>
      <w:kern w:val="0"/>
      <w:sz w:val="16"/>
      <w:szCs w:val="16"/>
      <w:lang w:val="fi-FI"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CC7D2C"/>
    <w:rPr>
      <w:rFonts w:ascii="Arial" w:hAnsi="Arial" w:cs="Times New Roman"/>
      <w:kern w:val="0"/>
      <w:position w:val="4"/>
      <w:sz w:val="12"/>
      <w:szCs w:val="12"/>
      <w:vertAlign w:val="baseline"/>
    </w:rPr>
  </w:style>
  <w:style w:type="paragraph" w:styleId="Footer">
    <w:name w:val="footer"/>
    <w:basedOn w:val="Normal"/>
    <w:link w:val="FooterChar"/>
    <w:uiPriority w:val="99"/>
    <w:rsid w:val="00CC7D2C"/>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CC7D2C"/>
    <w:rPr>
      <w:rFonts w:ascii="Arial" w:eastAsia="Arial" w:hAnsi="Arial" w:cs="Times New Roman"/>
      <w:kern w:val="0"/>
      <w:sz w:val="14"/>
      <w:szCs w:val="14"/>
      <w:lang w:val="fi-FI" w:eastAsia="de-DE"/>
      <w14:ligatures w14:val="none"/>
    </w:rPr>
  </w:style>
  <w:style w:type="paragraph" w:customStyle="1" w:styleId="GliederungmitAufzhlung">
    <w:name w:val="Gliederung mit Aufzählung"/>
    <w:basedOn w:val="Normal"/>
    <w:uiPriority w:val="1"/>
    <w:qFormat/>
    <w:rsid w:val="00CC7D2C"/>
    <w:pPr>
      <w:numPr>
        <w:numId w:val="7"/>
      </w:numPr>
      <w:spacing w:line="312" w:lineRule="auto"/>
    </w:pPr>
  </w:style>
  <w:style w:type="paragraph" w:customStyle="1" w:styleId="GliederungmitNummerierung">
    <w:name w:val="Gliederung mit Nummerierung"/>
    <w:basedOn w:val="Normal"/>
    <w:uiPriority w:val="1"/>
    <w:qFormat/>
    <w:rsid w:val="00CC7D2C"/>
    <w:pPr>
      <w:numPr>
        <w:numId w:val="8"/>
      </w:numPr>
      <w:spacing w:line="312" w:lineRule="auto"/>
    </w:pPr>
  </w:style>
  <w:style w:type="paragraph" w:customStyle="1" w:styleId="HngEinrckung1">
    <w:name w:val="Häng. Einrückung1"/>
    <w:basedOn w:val="Normal"/>
    <w:uiPriority w:val="1"/>
    <w:qFormat/>
    <w:rsid w:val="00CC7D2C"/>
    <w:pPr>
      <w:spacing w:line="312" w:lineRule="auto"/>
      <w:ind w:left="567" w:hanging="567"/>
    </w:pPr>
  </w:style>
  <w:style w:type="paragraph" w:customStyle="1" w:styleId="HngEinrckung2">
    <w:name w:val="Häng. Einrückung2"/>
    <w:basedOn w:val="Normal"/>
    <w:uiPriority w:val="1"/>
    <w:qFormat/>
    <w:rsid w:val="00CC7D2C"/>
    <w:pPr>
      <w:spacing w:line="312" w:lineRule="auto"/>
      <w:ind w:left="1134" w:hanging="567"/>
    </w:pPr>
  </w:style>
  <w:style w:type="paragraph" w:customStyle="1" w:styleId="HngEinrckung3">
    <w:name w:val="Häng. Einrückung3"/>
    <w:basedOn w:val="Normal"/>
    <w:uiPriority w:val="1"/>
    <w:qFormat/>
    <w:rsid w:val="00CC7D2C"/>
    <w:pPr>
      <w:spacing w:line="312" w:lineRule="auto"/>
      <w:ind w:left="1701" w:hanging="567"/>
    </w:pPr>
  </w:style>
  <w:style w:type="character" w:styleId="Hyperlink">
    <w:name w:val="Hyperlink"/>
    <w:uiPriority w:val="99"/>
    <w:rsid w:val="00CC7D2C"/>
    <w:rPr>
      <w:rFonts w:cs="Times New Roman"/>
      <w:color w:val="0000FF"/>
      <w:u w:val="single"/>
    </w:rPr>
  </w:style>
  <w:style w:type="paragraph" w:customStyle="1" w:styleId="Marginalspalte">
    <w:name w:val="Marginalspalte"/>
    <w:basedOn w:val="Normal"/>
    <w:uiPriority w:val="1"/>
    <w:qFormat/>
    <w:rsid w:val="00CC7D2C"/>
    <w:pPr>
      <w:framePr w:w="851" w:h="851" w:hSpace="284" w:wrap="around" w:vAnchor="text" w:hAnchor="page" w:y="1"/>
    </w:pPr>
    <w:rPr>
      <w:i/>
      <w:szCs w:val="22"/>
    </w:rPr>
  </w:style>
  <w:style w:type="paragraph" w:customStyle="1" w:styleId="Nummerierungsart1">
    <w:name w:val="Nummerierungsart1"/>
    <w:basedOn w:val="Normal"/>
    <w:uiPriority w:val="1"/>
    <w:qFormat/>
    <w:rsid w:val="00CC7D2C"/>
    <w:pPr>
      <w:numPr>
        <w:numId w:val="9"/>
      </w:numPr>
    </w:pPr>
  </w:style>
  <w:style w:type="paragraph" w:customStyle="1" w:styleId="Nummerierungsart2">
    <w:name w:val="Nummerierungsart2"/>
    <w:basedOn w:val="Normal"/>
    <w:uiPriority w:val="1"/>
    <w:qFormat/>
    <w:rsid w:val="00CC7D2C"/>
    <w:pPr>
      <w:numPr>
        <w:numId w:val="10"/>
      </w:numPr>
    </w:pPr>
  </w:style>
  <w:style w:type="paragraph" w:customStyle="1" w:styleId="Nummerierungsart3">
    <w:name w:val="Nummerierungsart3"/>
    <w:basedOn w:val="Normal"/>
    <w:uiPriority w:val="1"/>
    <w:qFormat/>
    <w:rsid w:val="00CC7D2C"/>
    <w:pPr>
      <w:numPr>
        <w:numId w:val="11"/>
      </w:numPr>
    </w:pPr>
  </w:style>
  <w:style w:type="paragraph" w:customStyle="1" w:styleId="Nummerierungsart4">
    <w:name w:val="Nummerierungsart4"/>
    <w:basedOn w:val="Normal"/>
    <w:uiPriority w:val="1"/>
    <w:qFormat/>
    <w:rsid w:val="00CC7D2C"/>
    <w:pPr>
      <w:numPr>
        <w:numId w:val="12"/>
      </w:numPr>
    </w:pPr>
  </w:style>
  <w:style w:type="character" w:styleId="PageNumber">
    <w:name w:val="page number"/>
    <w:uiPriority w:val="99"/>
    <w:rsid w:val="00CC7D2C"/>
    <w:rPr>
      <w:rFonts w:ascii="Arial" w:hAnsi="Arial" w:cs="Times New Roman"/>
      <w:sz w:val="22"/>
    </w:rPr>
  </w:style>
  <w:style w:type="character" w:customStyle="1" w:styleId="Heading3Char1">
    <w:name w:val="Heading 3 Char1"/>
    <w:aliases w:val="Title 2 Char1"/>
    <w:link w:val="Heading3"/>
    <w:uiPriority w:val="99"/>
    <w:locked/>
    <w:rsid w:val="00CC7D2C"/>
    <w:rPr>
      <w:rFonts w:ascii="Arial" w:eastAsia="Arial" w:hAnsi="Arial" w:cs="Times New Roman"/>
      <w:b/>
      <w:kern w:val="0"/>
      <w:sz w:val="20"/>
      <w:szCs w:val="20"/>
      <w:lang w:val="fi-FI" w:eastAsia="de-DE"/>
      <w14:ligatures w14:val="none"/>
    </w:rPr>
  </w:style>
  <w:style w:type="paragraph" w:styleId="TOC1">
    <w:name w:val="toc 1"/>
    <w:basedOn w:val="Normal"/>
    <w:next w:val="Normal"/>
    <w:autoRedefine/>
    <w:uiPriority w:val="39"/>
    <w:qFormat/>
    <w:rsid w:val="00CC7D2C"/>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CC7D2C"/>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CC7D2C"/>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CC7D2C"/>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CC7D2C"/>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CC7D2C"/>
    <w:pPr>
      <w:tabs>
        <w:tab w:val="left" w:pos="2058"/>
        <w:tab w:val="right" w:leader="dot" w:pos="9071"/>
      </w:tabs>
      <w:ind w:left="1134" w:hanging="1134"/>
    </w:pPr>
    <w:rPr>
      <w:noProof/>
      <w:sz w:val="16"/>
    </w:rPr>
  </w:style>
  <w:style w:type="paragraph" w:styleId="TOC7">
    <w:name w:val="toc 7"/>
    <w:basedOn w:val="Normal"/>
    <w:next w:val="Normal"/>
    <w:autoRedefine/>
    <w:uiPriority w:val="39"/>
    <w:rsid w:val="00CC7D2C"/>
    <w:pPr>
      <w:tabs>
        <w:tab w:val="right" w:leader="dot" w:pos="9071"/>
      </w:tabs>
      <w:ind w:left="1134" w:hanging="1134"/>
    </w:pPr>
    <w:rPr>
      <w:sz w:val="16"/>
    </w:rPr>
  </w:style>
  <w:style w:type="paragraph" w:styleId="TOC8">
    <w:name w:val="toc 8"/>
    <w:basedOn w:val="Normal"/>
    <w:next w:val="Normal"/>
    <w:autoRedefine/>
    <w:uiPriority w:val="39"/>
    <w:rsid w:val="00CC7D2C"/>
    <w:pPr>
      <w:tabs>
        <w:tab w:val="left" w:pos="2758"/>
        <w:tab w:val="right" w:leader="dot" w:pos="9071"/>
      </w:tabs>
      <w:ind w:left="1361" w:hanging="1361"/>
    </w:pPr>
    <w:rPr>
      <w:noProof/>
      <w:sz w:val="16"/>
    </w:rPr>
  </w:style>
  <w:style w:type="paragraph" w:styleId="TOC9">
    <w:name w:val="toc 9"/>
    <w:basedOn w:val="Normal"/>
    <w:next w:val="Normal"/>
    <w:autoRedefine/>
    <w:uiPriority w:val="39"/>
    <w:rsid w:val="00CC7D2C"/>
    <w:pPr>
      <w:tabs>
        <w:tab w:val="right" w:leader="dot" w:pos="9071"/>
      </w:tabs>
      <w:ind w:left="1361" w:hanging="1361"/>
    </w:pPr>
    <w:rPr>
      <w:sz w:val="16"/>
    </w:rPr>
  </w:style>
  <w:style w:type="paragraph" w:styleId="Quote">
    <w:name w:val="Quote"/>
    <w:basedOn w:val="Normal"/>
    <w:next w:val="Normal"/>
    <w:link w:val="QuoteChar"/>
    <w:uiPriority w:val="29"/>
    <w:qFormat/>
    <w:rsid w:val="00CC7D2C"/>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CC7D2C"/>
    <w:rPr>
      <w:rFonts w:ascii="Arial" w:eastAsia="Arial" w:hAnsi="Arial" w:cs="Times New Roman"/>
      <w:i/>
      <w:iCs/>
      <w:color w:val="000000"/>
      <w:kern w:val="0"/>
      <w:sz w:val="20"/>
      <w:szCs w:val="20"/>
      <w:lang w:val="fi-FI" w:eastAsia="de-DE"/>
      <w14:ligatures w14:val="none"/>
    </w:rPr>
  </w:style>
  <w:style w:type="paragraph" w:styleId="TOCHeading">
    <w:name w:val="TOC Heading"/>
    <w:basedOn w:val="Heading1"/>
    <w:next w:val="Normal"/>
    <w:uiPriority w:val="39"/>
    <w:qFormat/>
    <w:rsid w:val="00CC7D2C"/>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CC7D2C"/>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CC7D2C"/>
    <w:rPr>
      <w:rFonts w:ascii="Arial" w:eastAsia="Arial" w:hAnsi="Arial" w:cs="Times New Roman"/>
      <w:kern w:val="0"/>
      <w:sz w:val="20"/>
      <w:szCs w:val="20"/>
      <w:lang w:val="fi-FI" w:eastAsia="de-DE"/>
      <w14:ligatures w14:val="none"/>
    </w:rPr>
  </w:style>
  <w:style w:type="character" w:styleId="EndnoteReference">
    <w:name w:val="endnote reference"/>
    <w:uiPriority w:val="1"/>
    <w:rsid w:val="00CC7D2C"/>
    <w:rPr>
      <w:rFonts w:ascii="Arial" w:hAnsi="Arial" w:cs="Times New Roman"/>
      <w:color w:val="auto"/>
      <w:position w:val="4"/>
      <w:sz w:val="12"/>
      <w:vertAlign w:val="baseline"/>
    </w:rPr>
  </w:style>
  <w:style w:type="paragraph" w:customStyle="1" w:styleId="Ballontekst">
    <w:name w:val="Ballontekst"/>
    <w:basedOn w:val="Normal"/>
    <w:uiPriority w:val="99"/>
    <w:semiHidden/>
    <w:rsid w:val="00CC7D2C"/>
    <w:rPr>
      <w:rFonts w:ascii="Tahoma" w:hAnsi="Tahoma" w:cs="Tahoma"/>
      <w:sz w:val="16"/>
      <w:szCs w:val="16"/>
    </w:rPr>
  </w:style>
  <w:style w:type="character" w:styleId="CommentReference">
    <w:name w:val="annotation reference"/>
    <w:uiPriority w:val="99"/>
    <w:rsid w:val="00CC7D2C"/>
    <w:rPr>
      <w:rFonts w:cs="Times New Roman"/>
      <w:sz w:val="16"/>
      <w:szCs w:val="16"/>
    </w:rPr>
  </w:style>
  <w:style w:type="paragraph" w:styleId="CommentText">
    <w:name w:val="annotation text"/>
    <w:basedOn w:val="Normal"/>
    <w:link w:val="CommentTextChar"/>
    <w:uiPriority w:val="99"/>
    <w:rsid w:val="00CC7D2C"/>
    <w:rPr>
      <w:rFonts w:eastAsia="Arial"/>
      <w:szCs w:val="20"/>
      <w:lang w:eastAsia="x-none"/>
    </w:rPr>
  </w:style>
  <w:style w:type="character" w:customStyle="1" w:styleId="CommentTextChar">
    <w:name w:val="Comment Text Char"/>
    <w:basedOn w:val="DefaultParagraphFont"/>
    <w:link w:val="CommentText"/>
    <w:uiPriority w:val="99"/>
    <w:rsid w:val="00CC7D2C"/>
    <w:rPr>
      <w:rFonts w:ascii="Verdana" w:eastAsia="Arial" w:hAnsi="Verdana" w:cs="Times New Roman"/>
      <w:kern w:val="0"/>
      <w:sz w:val="20"/>
      <w:szCs w:val="20"/>
      <w:lang w:val="fi-FI" w:eastAsia="x-none"/>
      <w14:ligatures w14:val="none"/>
    </w:rPr>
  </w:style>
  <w:style w:type="paragraph" w:customStyle="1" w:styleId="Onderwerpvanopmerking">
    <w:name w:val="Onderwerp van opmerking"/>
    <w:basedOn w:val="CommentText"/>
    <w:next w:val="CommentText"/>
    <w:uiPriority w:val="99"/>
    <w:semiHidden/>
    <w:rsid w:val="00CC7D2C"/>
    <w:rPr>
      <w:b/>
      <w:bCs/>
    </w:rPr>
  </w:style>
  <w:style w:type="character" w:styleId="FollowedHyperlink">
    <w:name w:val="FollowedHyperlink"/>
    <w:uiPriority w:val="99"/>
    <w:rsid w:val="00CC7D2C"/>
    <w:rPr>
      <w:rFonts w:cs="Times New Roman"/>
      <w:color w:val="606420"/>
      <w:u w:val="single"/>
    </w:rPr>
  </w:style>
  <w:style w:type="paragraph" w:styleId="BalloonText">
    <w:name w:val="Balloon Text"/>
    <w:basedOn w:val="Normal"/>
    <w:link w:val="BalloonTextChar"/>
    <w:uiPriority w:val="99"/>
    <w:rsid w:val="00CC7D2C"/>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CC7D2C"/>
    <w:rPr>
      <w:rFonts w:ascii="Tahoma" w:eastAsia="Arial" w:hAnsi="Tahoma" w:cs="Times New Roman"/>
      <w:kern w:val="0"/>
      <w:sz w:val="16"/>
      <w:szCs w:val="16"/>
      <w:lang w:val="fi-FI" w:eastAsia="x-none"/>
      <w14:ligatures w14:val="none"/>
    </w:rPr>
  </w:style>
  <w:style w:type="paragraph" w:styleId="CommentSubject">
    <w:name w:val="annotation subject"/>
    <w:basedOn w:val="CommentText"/>
    <w:next w:val="CommentText"/>
    <w:link w:val="CommentSubjectChar"/>
    <w:uiPriority w:val="99"/>
    <w:rsid w:val="00CC7D2C"/>
    <w:rPr>
      <w:b/>
      <w:bCs/>
    </w:rPr>
  </w:style>
  <w:style w:type="character" w:customStyle="1" w:styleId="CommentSubjectChar">
    <w:name w:val="Comment Subject Char"/>
    <w:basedOn w:val="CommentTextChar"/>
    <w:link w:val="CommentSubject"/>
    <w:uiPriority w:val="99"/>
    <w:rsid w:val="00CC7D2C"/>
    <w:rPr>
      <w:rFonts w:ascii="Verdana" w:eastAsia="Arial" w:hAnsi="Verdana" w:cs="Times New Roman"/>
      <w:b/>
      <w:bCs/>
      <w:kern w:val="0"/>
      <w:sz w:val="20"/>
      <w:szCs w:val="20"/>
      <w:lang w:val="fi-FI" w:eastAsia="x-none"/>
      <w14:ligatures w14:val="none"/>
    </w:rPr>
  </w:style>
  <w:style w:type="table" w:styleId="TableGrid">
    <w:name w:val="Table Grid"/>
    <w:aliases w:val="Tabla CUADROS"/>
    <w:basedOn w:val="TableNormal"/>
    <w:uiPriority w:val="59"/>
    <w:rsid w:val="00CC7D2C"/>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CC7D2C"/>
    <w:pPr>
      <w:spacing w:before="240" w:after="60"/>
    </w:pPr>
    <w:rPr>
      <w:iCs/>
      <w:szCs w:val="28"/>
    </w:rPr>
  </w:style>
  <w:style w:type="character" w:customStyle="1" w:styleId="Formatvorlageberschrift4Char">
    <w:name w:val="Formatvorlage Überschrift 4 Char"/>
    <w:link w:val="Formatvorlageberschrift4"/>
    <w:uiPriority w:val="99"/>
    <w:locked/>
    <w:rsid w:val="00CC7D2C"/>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CC7D2C"/>
    <w:pPr>
      <w:tabs>
        <w:tab w:val="num" w:pos="540"/>
      </w:tabs>
      <w:spacing w:before="240"/>
      <w:ind w:left="540" w:hanging="540"/>
    </w:pPr>
    <w:rPr>
      <w:b w:val="0"/>
      <w:kern w:val="32"/>
    </w:rPr>
  </w:style>
  <w:style w:type="paragraph" w:customStyle="1" w:styleId="Instructionsberschrift2">
    <w:name w:val="Instructions Überschrift 2"/>
    <w:basedOn w:val="Heading2"/>
    <w:rsid w:val="00CC7D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CC7D2C"/>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CC7D2C"/>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CC7D2C"/>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20EFD"/>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CC7D2C"/>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CC7D2C"/>
    <w:rPr>
      <w:rFonts w:ascii="Verdana" w:hAnsi="Verdana" w:cs="Times New Roman"/>
      <w:b/>
      <w:bCs/>
      <w:sz w:val="20"/>
      <w:u w:val="single"/>
    </w:rPr>
  </w:style>
  <w:style w:type="character" w:customStyle="1" w:styleId="InstructionsTabelleText">
    <w:name w:val="Instructions Tabelle Text"/>
    <w:rsid w:val="00CC7D2C"/>
    <w:rPr>
      <w:rFonts w:ascii="Verdana" w:hAnsi="Verdana" w:cs="Times New Roman"/>
      <w:sz w:val="20"/>
    </w:rPr>
  </w:style>
  <w:style w:type="character" w:customStyle="1" w:styleId="FormatvorlageInstructionsTabelleText">
    <w:name w:val="Formatvorlage Instructions Tabelle Text"/>
    <w:uiPriority w:val="99"/>
    <w:qFormat/>
    <w:rsid w:val="00CC7D2C"/>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CC7D2C"/>
    <w:pPr>
      <w:ind w:left="0" w:firstLine="0"/>
    </w:pPr>
    <w:rPr>
      <w:szCs w:val="20"/>
    </w:rPr>
  </w:style>
  <w:style w:type="paragraph" w:customStyle="1" w:styleId="Texte2">
    <w:name w:val="Texte 2"/>
    <w:basedOn w:val="Normal"/>
    <w:uiPriority w:val="99"/>
    <w:rsid w:val="00CC7D2C"/>
    <w:pPr>
      <w:spacing w:after="0"/>
      <w:ind w:left="567"/>
    </w:pPr>
    <w:rPr>
      <w:sz w:val="22"/>
      <w:szCs w:val="20"/>
      <w:lang w:eastAsia="fr-FR"/>
    </w:rPr>
  </w:style>
  <w:style w:type="paragraph" w:customStyle="1" w:styleId="Prrafodelista1">
    <w:name w:val="Párrafo de lista1"/>
    <w:basedOn w:val="Normal"/>
    <w:uiPriority w:val="99"/>
    <w:rsid w:val="00CC7D2C"/>
    <w:pPr>
      <w:ind w:left="720"/>
    </w:pPr>
  </w:style>
  <w:style w:type="paragraph" w:customStyle="1" w:styleId="Prrafodelista2">
    <w:name w:val="Párrafo de lista2"/>
    <w:basedOn w:val="Normal"/>
    <w:uiPriority w:val="99"/>
    <w:rsid w:val="00CC7D2C"/>
    <w:pPr>
      <w:ind w:left="708"/>
    </w:pPr>
  </w:style>
  <w:style w:type="paragraph" w:styleId="PlainText">
    <w:name w:val="Plain Text"/>
    <w:basedOn w:val="Normal"/>
    <w:link w:val="PlainTextChar"/>
    <w:uiPriority w:val="99"/>
    <w:rsid w:val="00CC7D2C"/>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CC7D2C"/>
    <w:rPr>
      <w:rFonts w:ascii="Verdana" w:eastAsia="Arial" w:hAnsi="Verdana" w:cs="Times New Roman"/>
      <w:kern w:val="0"/>
      <w:sz w:val="20"/>
      <w:szCs w:val="20"/>
      <w:lang w:val="fi-FI" w:eastAsia="es-ES_tradnl"/>
      <w14:ligatures w14:val="none"/>
    </w:rPr>
  </w:style>
  <w:style w:type="paragraph" w:customStyle="1" w:styleId="Listenabsatz1">
    <w:name w:val="Listenabsatz1"/>
    <w:basedOn w:val="Normal"/>
    <w:uiPriority w:val="99"/>
    <w:rsid w:val="00CC7D2C"/>
    <w:pPr>
      <w:ind w:left="708"/>
    </w:pPr>
  </w:style>
  <w:style w:type="character" w:customStyle="1" w:styleId="InstructionsTextChar">
    <w:name w:val="Instructions Text Char"/>
    <w:link w:val="InstructionsText"/>
    <w:locked/>
    <w:rsid w:val="00320EFD"/>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CC7D2C"/>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CC7D2C"/>
    <w:pPr>
      <w:ind w:left="708"/>
    </w:pPr>
  </w:style>
  <w:style w:type="character" w:styleId="PlaceholderText">
    <w:name w:val="Placeholder Text"/>
    <w:uiPriority w:val="99"/>
    <w:semiHidden/>
    <w:rsid w:val="00CC7D2C"/>
    <w:rPr>
      <w:rFonts w:cs="Times New Roman"/>
      <w:color w:val="808080"/>
    </w:rPr>
  </w:style>
  <w:style w:type="paragraph" w:customStyle="1" w:styleId="InstructionsText2">
    <w:name w:val="Instructions Text 2"/>
    <w:basedOn w:val="InstructionsText"/>
    <w:qFormat/>
    <w:rsid w:val="00CC7D2C"/>
    <w:pPr>
      <w:numPr>
        <w:numId w:val="15"/>
      </w:numPr>
      <w:spacing w:after="240"/>
    </w:pPr>
  </w:style>
  <w:style w:type="character" w:customStyle="1" w:styleId="Instructionsberschrift3Char">
    <w:name w:val="Instructions Überschrift 3 Char"/>
    <w:locked/>
    <w:rsid w:val="00CC7D2C"/>
    <w:rPr>
      <w:rFonts w:ascii="Verdana" w:hAnsi="Verdana" w:cs="Arial"/>
      <w:b/>
      <w:bCs/>
      <w:sz w:val="26"/>
      <w:szCs w:val="26"/>
      <w:u w:val="single"/>
      <w:lang w:val="fi-FI" w:eastAsia="en-US" w:bidi="ar-SA"/>
    </w:rPr>
  </w:style>
  <w:style w:type="paragraph" w:customStyle="1" w:styleId="CM4">
    <w:name w:val="CM4"/>
    <w:basedOn w:val="Normal"/>
    <w:next w:val="Normal"/>
    <w:uiPriority w:val="99"/>
    <w:rsid w:val="00CC7D2C"/>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CC7D2C"/>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CC7D2C"/>
    <w:rPr>
      <w:rFonts w:ascii="Tahoma" w:eastAsia="Arial" w:hAnsi="Tahoma" w:cs="Times New Roman"/>
      <w:kern w:val="0"/>
      <w:sz w:val="16"/>
      <w:szCs w:val="16"/>
      <w:lang w:val="fi-FI" w:eastAsia="x-none"/>
      <w14:ligatures w14:val="none"/>
    </w:rPr>
  </w:style>
  <w:style w:type="paragraph" w:customStyle="1" w:styleId="Titrearticle">
    <w:name w:val="Titre article"/>
    <w:basedOn w:val="Normal"/>
    <w:next w:val="Normal"/>
    <w:rsid w:val="00CC7D2C"/>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C7D2C"/>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C7D2C"/>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CC7D2C"/>
    <w:rPr>
      <w:rFonts w:cs="Times New Roman"/>
      <w:sz w:val="24"/>
      <w:szCs w:val="24"/>
      <w:lang w:eastAsia="de-DE"/>
    </w:rPr>
  </w:style>
  <w:style w:type="paragraph" w:customStyle="1" w:styleId="NumPar1">
    <w:name w:val="NumPar 1"/>
    <w:basedOn w:val="Normal"/>
    <w:next w:val="Normal"/>
    <w:link w:val="NumPar1Char"/>
    <w:uiPriority w:val="99"/>
    <w:rsid w:val="00CC7D2C"/>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CC7D2C"/>
    <w:rPr>
      <w:rFonts w:cs="Times New Roman"/>
      <w:sz w:val="24"/>
      <w:szCs w:val="24"/>
    </w:rPr>
  </w:style>
  <w:style w:type="paragraph" w:customStyle="1" w:styleId="Point1letter">
    <w:name w:val="Point 1 (letter)"/>
    <w:basedOn w:val="Normal"/>
    <w:link w:val="Point1letterChar"/>
    <w:uiPriority w:val="99"/>
    <w:rsid w:val="00CC7D2C"/>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CC7D2C"/>
    <w:pPr>
      <w:numPr>
        <w:numId w:val="6"/>
      </w:numPr>
    </w:pPr>
  </w:style>
  <w:style w:type="numbering" w:customStyle="1" w:styleId="Formatvorlage3">
    <w:name w:val="Formatvorlage3"/>
    <w:uiPriority w:val="99"/>
    <w:rsid w:val="00CC7D2C"/>
    <w:pPr>
      <w:numPr>
        <w:numId w:val="16"/>
      </w:numPr>
    </w:pPr>
  </w:style>
  <w:style w:type="numbering" w:customStyle="1" w:styleId="Formatvorlage1">
    <w:name w:val="Formatvorlage1"/>
    <w:uiPriority w:val="99"/>
    <w:rsid w:val="00CC7D2C"/>
    <w:pPr>
      <w:numPr>
        <w:numId w:val="5"/>
      </w:numPr>
    </w:pPr>
  </w:style>
  <w:style w:type="numbering" w:customStyle="1" w:styleId="Formatvorlage4">
    <w:name w:val="Formatvorlage4"/>
    <w:uiPriority w:val="99"/>
    <w:rsid w:val="00CC7D2C"/>
    <w:pPr>
      <w:numPr>
        <w:numId w:val="18"/>
      </w:numPr>
    </w:pPr>
  </w:style>
  <w:style w:type="paragraph" w:customStyle="1" w:styleId="ListParagraph1">
    <w:name w:val="List Paragraph1"/>
    <w:basedOn w:val="Normal"/>
    <w:uiPriority w:val="99"/>
    <w:qFormat/>
    <w:rsid w:val="00CC7D2C"/>
    <w:pPr>
      <w:ind w:left="708"/>
    </w:pPr>
  </w:style>
  <w:style w:type="paragraph" w:customStyle="1" w:styleId="Anfhrungszeichen1">
    <w:name w:val="Anführungszeichen1"/>
    <w:basedOn w:val="Normal"/>
    <w:next w:val="Normal"/>
    <w:link w:val="AnfhrungszeichenZchn"/>
    <w:uiPriority w:val="29"/>
    <w:semiHidden/>
    <w:rsid w:val="00CC7D2C"/>
    <w:rPr>
      <w:i/>
      <w:iCs/>
      <w:color w:val="000000"/>
    </w:rPr>
  </w:style>
  <w:style w:type="character" w:customStyle="1" w:styleId="AnfhrungszeichenZchn">
    <w:name w:val="Anführungszeichen Zchn"/>
    <w:link w:val="Anfhrungszeichen1"/>
    <w:uiPriority w:val="29"/>
    <w:semiHidden/>
    <w:rsid w:val="00CC7D2C"/>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CC7D2C"/>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CC7D2C"/>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CC7D2C"/>
    <w:pPr>
      <w:ind w:left="708"/>
    </w:pPr>
  </w:style>
  <w:style w:type="character" w:customStyle="1" w:styleId="Platzhaltertext1">
    <w:name w:val="Platzhaltertext1"/>
    <w:uiPriority w:val="99"/>
    <w:semiHidden/>
    <w:rsid w:val="00CC7D2C"/>
    <w:rPr>
      <w:color w:val="808080"/>
    </w:rPr>
  </w:style>
  <w:style w:type="paragraph" w:customStyle="1" w:styleId="Default">
    <w:name w:val="Default"/>
    <w:rsid w:val="00CC7D2C"/>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CC7D2C"/>
    <w:rPr>
      <w:rFonts w:ascii="EU Albertina" w:hAnsi="EU Albertina" w:cs="Times New Roman"/>
      <w:color w:val="auto"/>
    </w:rPr>
  </w:style>
  <w:style w:type="paragraph" w:customStyle="1" w:styleId="CM3">
    <w:name w:val="CM3"/>
    <w:basedOn w:val="Default"/>
    <w:next w:val="Default"/>
    <w:uiPriority w:val="99"/>
    <w:rsid w:val="00CC7D2C"/>
    <w:rPr>
      <w:rFonts w:ascii="EU Albertina" w:hAnsi="EU Albertina" w:cs="Times New Roman"/>
      <w:color w:val="auto"/>
    </w:rPr>
  </w:style>
  <w:style w:type="paragraph" w:styleId="NormalWeb">
    <w:name w:val="Normal (Web)"/>
    <w:basedOn w:val="Normal"/>
    <w:uiPriority w:val="99"/>
    <w:unhideWhenUsed/>
    <w:rsid w:val="00CC7D2C"/>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CC7D2C"/>
    <w:rPr>
      <w:i/>
      <w:iCs/>
    </w:rPr>
  </w:style>
  <w:style w:type="paragraph" w:customStyle="1" w:styleId="TableMainHeading">
    <w:name w:val="TableMainHeading"/>
    <w:basedOn w:val="Normal"/>
    <w:next w:val="Normal"/>
    <w:uiPriority w:val="99"/>
    <w:rsid w:val="00CC7D2C"/>
    <w:pPr>
      <w:jc w:val="left"/>
    </w:pPr>
    <w:rPr>
      <w:rFonts w:ascii="Segoe UI" w:hAnsi="Segoe UI"/>
      <w:sz w:val="22"/>
      <w:szCs w:val="20"/>
    </w:rPr>
  </w:style>
  <w:style w:type="paragraph" w:customStyle="1" w:styleId="body">
    <w:name w:val="body"/>
    <w:qFormat/>
    <w:rsid w:val="00CC7D2C"/>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CC7D2C"/>
    <w:pPr>
      <w:spacing w:before="480"/>
    </w:pPr>
    <w:rPr>
      <w:rFonts w:ascii="Times New Roman" w:hAnsi="Times New Roman"/>
      <w:sz w:val="24"/>
    </w:rPr>
  </w:style>
  <w:style w:type="paragraph" w:customStyle="1" w:styleId="Fait">
    <w:name w:val="Fait à"/>
    <w:basedOn w:val="Normal"/>
    <w:next w:val="Normal"/>
    <w:rsid w:val="00CC7D2C"/>
    <w:pPr>
      <w:keepNext/>
      <w:spacing w:after="0"/>
    </w:pPr>
    <w:rPr>
      <w:rFonts w:ascii="Times New Roman" w:hAnsi="Times New Roman"/>
      <w:sz w:val="24"/>
    </w:rPr>
  </w:style>
  <w:style w:type="paragraph" w:customStyle="1" w:styleId="Numberedtilelevel1">
    <w:name w:val="Numbered tile level 1"/>
    <w:basedOn w:val="Titlelevel1"/>
    <w:qFormat/>
    <w:rsid w:val="00CC7D2C"/>
    <w:pPr>
      <w:numPr>
        <w:numId w:val="33"/>
      </w:numPr>
    </w:pPr>
  </w:style>
  <w:style w:type="paragraph" w:customStyle="1" w:styleId="Numberedtitlelevel2">
    <w:name w:val="Numbered title level 2"/>
    <w:basedOn w:val="Titlelevel2"/>
    <w:next w:val="body"/>
    <w:qFormat/>
    <w:rsid w:val="00CC7D2C"/>
    <w:pPr>
      <w:numPr>
        <w:ilvl w:val="1"/>
        <w:numId w:val="33"/>
      </w:numPr>
    </w:pPr>
  </w:style>
  <w:style w:type="paragraph" w:customStyle="1" w:styleId="Titlelevel2">
    <w:name w:val="Title level 2"/>
    <w:qFormat/>
    <w:rsid w:val="00CC7D2C"/>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CC7D2C"/>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CC7D2C"/>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CC7D2C"/>
    <w:pPr>
      <w:numPr>
        <w:numId w:val="31"/>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CC7D2C"/>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CC7D2C"/>
    <w:pPr>
      <w:numPr>
        <w:numId w:val="32"/>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CC7D2C"/>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CC7D2C"/>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CC7D2C"/>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CC7D2C"/>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CC7D2C"/>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CC7D2C"/>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CC7D2C"/>
    <w:pPr>
      <w:numPr>
        <w:numId w:val="29"/>
      </w:numPr>
    </w:pPr>
    <w:rPr>
      <w:szCs w:val="22"/>
    </w:rPr>
  </w:style>
  <w:style w:type="paragraph" w:customStyle="1" w:styleId="bullet2">
    <w:name w:val="bullet 2"/>
    <w:basedOn w:val="body"/>
    <w:qFormat/>
    <w:rsid w:val="00CC7D2C"/>
    <w:pPr>
      <w:numPr>
        <w:numId w:val="28"/>
      </w:numPr>
    </w:pPr>
    <w:rPr>
      <w:szCs w:val="22"/>
    </w:rPr>
  </w:style>
  <w:style w:type="paragraph" w:customStyle="1" w:styleId="Numberedtitlelevel3">
    <w:name w:val="Numbered title level 3"/>
    <w:basedOn w:val="Titlelevel3"/>
    <w:next w:val="body"/>
    <w:qFormat/>
    <w:rsid w:val="00CC7D2C"/>
    <w:pPr>
      <w:numPr>
        <w:ilvl w:val="2"/>
        <w:numId w:val="33"/>
      </w:numPr>
    </w:pPr>
  </w:style>
  <w:style w:type="table" w:styleId="LightShading">
    <w:name w:val="Light Shading"/>
    <w:basedOn w:val="TableNormal"/>
    <w:uiPriority w:val="60"/>
    <w:rsid w:val="00CC7D2C"/>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CC7D2C"/>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CC7D2C"/>
  </w:style>
  <w:style w:type="paragraph" w:customStyle="1" w:styleId="Numberedtitlelevel4">
    <w:name w:val="Numbered title level 4"/>
    <w:basedOn w:val="Titlelevel4"/>
    <w:qFormat/>
    <w:rsid w:val="00CC7D2C"/>
    <w:pPr>
      <w:numPr>
        <w:numId w:val="30"/>
      </w:numPr>
    </w:pPr>
  </w:style>
  <w:style w:type="paragraph" w:styleId="Title">
    <w:name w:val="Title"/>
    <w:basedOn w:val="Normal"/>
    <w:next w:val="Normal"/>
    <w:link w:val="TitleChar"/>
    <w:qFormat/>
    <w:rsid w:val="00CC7D2C"/>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CC7D2C"/>
    <w:rPr>
      <w:rFonts w:asciiTheme="majorHAnsi" w:eastAsiaTheme="majorEastAsia" w:hAnsiTheme="majorHAnsi" w:cstheme="majorBidi"/>
      <w:color w:val="44546A" w:themeColor="text2"/>
      <w:spacing w:val="5"/>
      <w:kern w:val="28"/>
      <w:sz w:val="52"/>
      <w:szCs w:val="52"/>
      <w:lang w:val="fi-FI"/>
      <w14:ligatures w14:val="none"/>
    </w:rPr>
  </w:style>
  <w:style w:type="paragraph" w:styleId="Subtitle">
    <w:name w:val="Subtitle"/>
    <w:next w:val="Normal"/>
    <w:link w:val="SubtitleChar"/>
    <w:autoRedefine/>
    <w:uiPriority w:val="11"/>
    <w:qFormat/>
    <w:rsid w:val="00CC7D2C"/>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CC7D2C"/>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CC7D2C"/>
    <w:rPr>
      <w:b/>
      <w:bCs/>
      <w:smallCaps/>
      <w:spacing w:val="5"/>
    </w:rPr>
  </w:style>
  <w:style w:type="character" w:customStyle="1" w:styleId="Highlighttext">
    <w:name w:val="Highlight text"/>
    <w:basedOn w:val="DefaultParagraphFont"/>
    <w:uiPriority w:val="1"/>
    <w:semiHidden/>
    <w:qFormat/>
    <w:rsid w:val="00CC7D2C"/>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CC7D2C"/>
    <w:rPr>
      <w:bCs/>
      <w:lang w:eastAsia="en-GB"/>
    </w:rPr>
  </w:style>
  <w:style w:type="paragraph" w:styleId="ListBullet">
    <w:name w:val="List Bullet"/>
    <w:basedOn w:val="Normal"/>
    <w:semiHidden/>
    <w:qFormat/>
    <w:rsid w:val="00CC7D2C"/>
    <w:pPr>
      <w:numPr>
        <w:numId w:val="35"/>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CC7D2C"/>
    <w:pPr>
      <w:numPr>
        <w:numId w:val="34"/>
      </w:numPr>
    </w:pPr>
  </w:style>
  <w:style w:type="character" w:customStyle="1" w:styleId="Marker">
    <w:name w:val="Marker"/>
    <w:rsid w:val="00CC7D2C"/>
    <w:rPr>
      <w:color w:val="0000FF"/>
      <w:shd w:val="clear" w:color="auto" w:fill="auto"/>
    </w:rPr>
  </w:style>
  <w:style w:type="character" w:customStyle="1" w:styleId="Marker2">
    <w:name w:val="Marker2"/>
    <w:rsid w:val="00CC7D2C"/>
    <w:rPr>
      <w:color w:val="FF0000"/>
      <w:shd w:val="clear" w:color="auto" w:fill="auto"/>
    </w:rPr>
  </w:style>
  <w:style w:type="paragraph" w:customStyle="1" w:styleId="Annexetitre">
    <w:name w:val="Annexe titre"/>
    <w:basedOn w:val="Normal"/>
    <w:next w:val="Normal"/>
    <w:rsid w:val="00CC7D2C"/>
    <w:pPr>
      <w:jc w:val="center"/>
    </w:pPr>
    <w:rPr>
      <w:rFonts w:ascii="Times New Roman" w:hAnsi="Times New Roman"/>
      <w:b/>
      <w:sz w:val="24"/>
      <w:u w:val="single"/>
    </w:rPr>
  </w:style>
  <w:style w:type="paragraph" w:customStyle="1" w:styleId="Considrant">
    <w:name w:val="Considérant"/>
    <w:basedOn w:val="Normal"/>
    <w:rsid w:val="00CC7D2C"/>
    <w:pPr>
      <w:numPr>
        <w:numId w:val="36"/>
      </w:numPr>
    </w:pPr>
    <w:rPr>
      <w:rFonts w:ascii="Times New Roman" w:hAnsi="Times New Roman"/>
      <w:sz w:val="24"/>
    </w:rPr>
  </w:style>
  <w:style w:type="paragraph" w:customStyle="1" w:styleId="Datedadoption">
    <w:name w:val="Date d'adoption"/>
    <w:basedOn w:val="Normal"/>
    <w:next w:val="Titreobjet"/>
    <w:rsid w:val="00CC7D2C"/>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CC7D2C"/>
    <w:pPr>
      <w:keepNext/>
    </w:pPr>
    <w:rPr>
      <w:rFonts w:ascii="Times New Roman" w:hAnsi="Times New Roman"/>
      <w:sz w:val="24"/>
    </w:rPr>
  </w:style>
  <w:style w:type="paragraph" w:customStyle="1" w:styleId="Institutionquisigne">
    <w:name w:val="Institution qui signe"/>
    <w:basedOn w:val="Normal"/>
    <w:next w:val="Personnequisigne"/>
    <w:rsid w:val="00CC7D2C"/>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CC7D2C"/>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CC7D2C"/>
    <w:pPr>
      <w:spacing w:before="360" w:after="360"/>
      <w:jc w:val="center"/>
    </w:pPr>
    <w:rPr>
      <w:rFonts w:ascii="Times New Roman" w:hAnsi="Times New Roman"/>
      <w:b/>
      <w:sz w:val="24"/>
    </w:rPr>
  </w:style>
  <w:style w:type="paragraph" w:customStyle="1" w:styleId="Typedudocument">
    <w:name w:val="Type du document"/>
    <w:basedOn w:val="Normal"/>
    <w:next w:val="Titreobjet"/>
    <w:rsid w:val="00CC7D2C"/>
    <w:pPr>
      <w:spacing w:before="360" w:after="0"/>
      <w:jc w:val="center"/>
    </w:pPr>
    <w:rPr>
      <w:rFonts w:ascii="Times New Roman" w:hAnsi="Times New Roman"/>
      <w:b/>
      <w:sz w:val="24"/>
    </w:rPr>
  </w:style>
  <w:style w:type="paragraph" w:customStyle="1" w:styleId="Pagedecouverture">
    <w:name w:val="Page de couverture"/>
    <w:basedOn w:val="Normal"/>
    <w:next w:val="Normal"/>
    <w:rsid w:val="00CC7D2C"/>
    <w:rPr>
      <w:rFonts w:ascii="Times New Roman" w:hAnsi="Times New Roman"/>
      <w:sz w:val="24"/>
    </w:rPr>
  </w:style>
  <w:style w:type="paragraph" w:customStyle="1" w:styleId="Institutionquiagit">
    <w:name w:val="Institution qui agit"/>
    <w:basedOn w:val="Normal"/>
    <w:next w:val="Normal"/>
    <w:rsid w:val="00CC7D2C"/>
    <w:pPr>
      <w:keepNext/>
      <w:spacing w:before="600"/>
    </w:pPr>
    <w:rPr>
      <w:rFonts w:ascii="Times New Roman" w:hAnsi="Times New Roman"/>
      <w:sz w:val="24"/>
    </w:rPr>
  </w:style>
  <w:style w:type="paragraph" w:styleId="Caption">
    <w:name w:val="caption"/>
    <w:basedOn w:val="Normal"/>
    <w:next w:val="Normal"/>
    <w:uiPriority w:val="35"/>
    <w:unhideWhenUsed/>
    <w:qFormat/>
    <w:rsid w:val="00CC7D2C"/>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CC7D2C"/>
    <w:pPr>
      <w:spacing w:before="60"/>
    </w:pPr>
    <w:rPr>
      <w:rFonts w:ascii="Segoe UI" w:hAnsi="Segoe UI"/>
      <w:sz w:val="15"/>
      <w:szCs w:val="20"/>
    </w:rPr>
  </w:style>
  <w:style w:type="paragraph" w:customStyle="1" w:styleId="CM11">
    <w:name w:val="CM1+1"/>
    <w:basedOn w:val="Default"/>
    <w:next w:val="Default"/>
    <w:uiPriority w:val="99"/>
    <w:rsid w:val="00CC7D2C"/>
    <w:rPr>
      <w:rFonts w:ascii="EUAlbertina" w:eastAsiaTheme="minorEastAsia" w:hAnsi="EUAlbertina" w:cstheme="minorBidi"/>
      <w:color w:val="auto"/>
      <w:lang w:eastAsia="en-US"/>
    </w:rPr>
  </w:style>
  <w:style w:type="paragraph" w:customStyle="1" w:styleId="CM31">
    <w:name w:val="CM3+1"/>
    <w:basedOn w:val="Default"/>
    <w:next w:val="Default"/>
    <w:uiPriority w:val="99"/>
    <w:rsid w:val="00CC7D2C"/>
    <w:rPr>
      <w:rFonts w:ascii="EUAlbertina" w:eastAsiaTheme="minorEastAsia" w:hAnsi="EUAlbertina" w:cstheme="minorBidi"/>
      <w:color w:val="auto"/>
      <w:lang w:eastAsia="en-US"/>
    </w:rPr>
  </w:style>
  <w:style w:type="paragraph" w:customStyle="1" w:styleId="CM13">
    <w:name w:val="CM1+3"/>
    <w:basedOn w:val="Default"/>
    <w:next w:val="Default"/>
    <w:uiPriority w:val="99"/>
    <w:rsid w:val="00CC7D2C"/>
    <w:rPr>
      <w:rFonts w:ascii="EUAlbertina" w:eastAsiaTheme="minorEastAsia" w:hAnsi="EUAlbertina" w:cstheme="minorBidi"/>
      <w:color w:val="auto"/>
      <w:lang w:eastAsia="en-US"/>
    </w:rPr>
  </w:style>
  <w:style w:type="paragraph" w:customStyle="1" w:styleId="CM33">
    <w:name w:val="CM3+3"/>
    <w:basedOn w:val="Default"/>
    <w:next w:val="Default"/>
    <w:uiPriority w:val="99"/>
    <w:rsid w:val="00CC7D2C"/>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CC7D2C"/>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CC7D2C"/>
    <w:rPr>
      <w:color w:val="605E5C"/>
      <w:shd w:val="clear" w:color="auto" w:fill="E1DFDD"/>
    </w:rPr>
  </w:style>
  <w:style w:type="character" w:styleId="Mention">
    <w:name w:val="Mention"/>
    <w:basedOn w:val="DefaultParagraphFont"/>
    <w:uiPriority w:val="99"/>
    <w:unhideWhenUsed/>
    <w:rsid w:val="00CC7D2C"/>
    <w:rPr>
      <w:color w:val="2B579A"/>
      <w:shd w:val="clear" w:color="auto" w:fill="E1DFDD"/>
    </w:rPr>
  </w:style>
  <w:style w:type="paragraph" w:customStyle="1" w:styleId="pf0">
    <w:name w:val="pf0"/>
    <w:basedOn w:val="Normal"/>
    <w:rsid w:val="00CC7D2C"/>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CC7D2C"/>
  </w:style>
  <w:style w:type="character" w:customStyle="1" w:styleId="cf01">
    <w:name w:val="cf01"/>
    <w:basedOn w:val="DefaultParagraphFont"/>
    <w:rsid w:val="00CC7D2C"/>
    <w:rPr>
      <w:rFonts w:ascii="Segoe UI" w:hAnsi="Segoe UI" w:cs="Segoe UI" w:hint="default"/>
      <w:sz w:val="18"/>
      <w:szCs w:val="18"/>
    </w:rPr>
  </w:style>
  <w:style w:type="paragraph" w:styleId="BodyText">
    <w:name w:val="Body Text"/>
    <w:basedOn w:val="Normal"/>
    <w:link w:val="BodyTextChar"/>
    <w:rsid w:val="00CC7D2C"/>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CC7D2C"/>
    <w:rPr>
      <w:rFonts w:ascii="Liberation Serif" w:eastAsia="SimSun" w:hAnsi="Liberation Serif" w:cs="Lucida Sans"/>
      <w:kern w:val="0"/>
      <w:sz w:val="24"/>
      <w:szCs w:val="24"/>
      <w:lang w:val="fi-FI" w:eastAsia="zh-CN" w:bidi="hi-IN"/>
      <w14:ligatures w14:val="none"/>
    </w:rPr>
  </w:style>
  <w:style w:type="paragraph" w:customStyle="1" w:styleId="Tabelleninhalt">
    <w:name w:val="Tabelleninhalt"/>
    <w:basedOn w:val="Normal"/>
    <w:qFormat/>
    <w:rsid w:val="00CC7D2C"/>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CC7D2C"/>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CC7D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2664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F677ECF-FEAB-4502-8FEA-721B3426C797}"/>
</file>

<file path=customXml/itemProps2.xml><?xml version="1.0" encoding="utf-8"?>
<ds:datastoreItem xmlns:ds="http://schemas.openxmlformats.org/officeDocument/2006/customXml" ds:itemID="{7A2824FC-0F71-4BF1-96F2-46510D4ADEE5}">
  <ds:schemaRefs>
    <ds:schemaRef ds:uri="http://schemas.microsoft.com/sharepoint/v3/contenttype/forms"/>
  </ds:schemaRefs>
</ds:datastoreItem>
</file>

<file path=customXml/itemProps3.xml><?xml version="1.0" encoding="utf-8"?>
<ds:datastoreItem xmlns:ds="http://schemas.openxmlformats.org/officeDocument/2006/customXml" ds:itemID="{D35E0B95-D390-4968-8AED-C50D8C78521A}">
  <ds:schemaRef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dcmitype/"/>
    <ds:schemaRef ds:uri="http://www.w3.org/XML/1998/namespace"/>
    <ds:schemaRef ds:uri="http://schemas.microsoft.com/office/infopath/2007/PartnerControls"/>
    <ds:schemaRef ds:uri="da0bec91-bd15-486a-844a-39cd7890c3eb"/>
    <ds:schemaRef ds:uri="82dbab2e-3b56-44de-becc-0ec356b33dff"/>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71</Pages>
  <Words>18110</Words>
  <Characters>134021</Characters>
  <Application>Microsoft Office Word</Application>
  <DocSecurity>0</DocSecurity>
  <Lines>3350</Lines>
  <Paragraphs>1855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2024-06-19T16:02:00Z</dcterms:created>
  <dcterms:modified xsi:type="dcterms:W3CDTF">2025-01-15T10:57:00Z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2025-01-15T10:56:50Z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077603cd-43f1-44de-b41d-881168937651</vt:lpwstr>
  </property>
  <property fmtid="{D5CDD505-2E9C-101B-9397-08002B2CF9AE}" pid="10" name="MSIP_Label_6bd9ddd1-4d20-43f6-abfa-fc3c07406f94_ContentBits">
    <vt:lpwstr>0</vt:lpwstr>
  </property>
</Properties>
</file>